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9D5F2A" w14:textId="5A5C2EFA" w:rsidR="000407E4" w:rsidRPr="004D75B9" w:rsidRDefault="00DF7D6C" w:rsidP="00B97B16">
      <w:pPr>
        <w:pStyle w:val="ITTMainHeading"/>
        <w:spacing w:line="240" w:lineRule="auto"/>
      </w:pPr>
      <w:r>
        <w:t>c</w:t>
      </w:r>
    </w:p>
    <w:p w14:paraId="3C0D4300" w14:textId="716E01D5" w:rsidR="000407E4" w:rsidRPr="004D75B9" w:rsidRDefault="7963FE49" w:rsidP="00B97B16">
      <w:pPr>
        <w:pStyle w:val="ITTMainHeading"/>
        <w:spacing w:line="240" w:lineRule="auto"/>
      </w:pPr>
      <w:r>
        <w:t>Service Specification</w:t>
      </w:r>
      <w:r w:rsidR="63003BC7">
        <w:t xml:space="preserve"> of Requirements</w:t>
      </w:r>
    </w:p>
    <w:p w14:paraId="45B4D0DB" w14:textId="77777777" w:rsidR="0049431B" w:rsidRPr="00AD6702" w:rsidRDefault="0049431B" w:rsidP="00B97B16">
      <w:pPr>
        <w:pStyle w:val="ITTgenericheading"/>
      </w:pPr>
    </w:p>
    <w:p w14:paraId="0A0A1EE5" w14:textId="77777777" w:rsidR="00E734A2" w:rsidRDefault="00E734A2" w:rsidP="00B97B16">
      <w:pPr>
        <w:spacing w:after="0" w:line="240" w:lineRule="auto"/>
        <w:rPr>
          <w:rFonts w:ascii="Arial" w:hAnsi="Arial" w:cs="Arial"/>
          <w:b/>
          <w:sz w:val="36"/>
          <w:szCs w:val="36"/>
        </w:rPr>
      </w:pPr>
      <w:bookmarkStart w:id="0" w:name="_Toc142451954"/>
      <w:bookmarkStart w:id="1" w:name="_Toc147288617"/>
      <w:bookmarkStart w:id="2" w:name="_Toc147289230"/>
      <w:bookmarkStart w:id="3" w:name="_Toc248202963"/>
      <w:bookmarkStart w:id="4" w:name="_Toc250536875"/>
      <w:bookmarkStart w:id="5" w:name="_Toc321321269"/>
      <w:bookmarkStart w:id="6" w:name="_Toc323656675"/>
      <w:bookmarkStart w:id="7" w:name="_Toc323823613"/>
      <w:bookmarkStart w:id="8" w:name="_Toc324423958"/>
      <w:r>
        <w:br w:type="page"/>
      </w:r>
    </w:p>
    <w:p w14:paraId="562C301C" w14:textId="44CD3295" w:rsidR="001F3CB9" w:rsidRDefault="00AE77DD" w:rsidP="00AE77DD">
      <w:pPr>
        <w:tabs>
          <w:tab w:val="left" w:pos="5535"/>
        </w:tabs>
        <w:spacing w:line="240" w:lineRule="auto"/>
        <w:rPr>
          <w:rFonts w:cs="Arial"/>
        </w:rPr>
      </w:pPr>
      <w:bookmarkStart w:id="9" w:name="_Toc304983222"/>
      <w:bookmarkStart w:id="10" w:name="_Toc305151711"/>
      <w:bookmarkStart w:id="11" w:name="_Toc304987718"/>
      <w:bookmarkStart w:id="12" w:name="_Toc306113811"/>
      <w:bookmarkEnd w:id="0"/>
      <w:bookmarkEnd w:id="1"/>
      <w:bookmarkEnd w:id="2"/>
      <w:bookmarkEnd w:id="3"/>
      <w:bookmarkEnd w:id="4"/>
      <w:bookmarkEnd w:id="5"/>
      <w:bookmarkEnd w:id="6"/>
      <w:bookmarkEnd w:id="7"/>
      <w:bookmarkEnd w:id="8"/>
      <w:r>
        <w:rPr>
          <w:rFonts w:cs="Arial"/>
        </w:rPr>
        <w:lastRenderedPageBreak/>
        <w:tab/>
      </w:r>
    </w:p>
    <w:p w14:paraId="0FC69529" w14:textId="40C9B76D" w:rsidR="00573D3B" w:rsidRPr="00AD6702" w:rsidRDefault="00AE77DD" w:rsidP="001E7994">
      <w:pPr>
        <w:pStyle w:val="ITTMainHeading2"/>
      </w:pPr>
      <w:r>
        <w:tab/>
      </w:r>
      <w:bookmarkStart w:id="13" w:name="_Ref484188823"/>
      <w:bookmarkEnd w:id="9"/>
      <w:bookmarkEnd w:id="10"/>
      <w:bookmarkEnd w:id="11"/>
      <w:bookmarkEnd w:id="12"/>
      <w:r w:rsidR="0026441D" w:rsidRPr="00AD6702">
        <w:t>I</w:t>
      </w:r>
      <w:r w:rsidR="00AD6702" w:rsidRPr="00AD6702">
        <w:t>ntroduction</w:t>
      </w:r>
      <w:bookmarkEnd w:id="13"/>
    </w:p>
    <w:p w14:paraId="15C64CC1" w14:textId="20E4FEC8" w:rsidR="617B61A4" w:rsidRDefault="617B61A4" w:rsidP="4C0E2C61">
      <w:pPr>
        <w:pStyle w:val="ITTbody1"/>
        <w:ind w:left="0"/>
      </w:pPr>
      <w:r>
        <w:t xml:space="preserve">The National Institute for Health and Care Excellence (NICE) </w:t>
      </w:r>
      <w:r w:rsidR="13C85C0C">
        <w:t xml:space="preserve">produces useful and useable guidance for the NHS and wider health and care system. NICE recommendations help practitioners and commissioners get the best care to people, fast, while ensuring value for the taxpayer. </w:t>
      </w:r>
    </w:p>
    <w:p w14:paraId="3F2DA1E5" w14:textId="0C0EFEA6" w:rsidR="6E47617B" w:rsidRDefault="6E47617B" w:rsidP="4C0E2C61">
      <w:pPr>
        <w:pStyle w:val="ITTbody1"/>
        <w:ind w:left="0"/>
      </w:pPr>
      <w:r>
        <w:t>In April 2013</w:t>
      </w:r>
      <w:r w:rsidR="304D23A8">
        <w:t>,</w:t>
      </w:r>
      <w:r>
        <w:t xml:space="preserve"> NICE was established in primary legislation, becoming a </w:t>
      </w:r>
      <w:r w:rsidR="69CE0ED1">
        <w:t>Non-Departmental</w:t>
      </w:r>
      <w:r>
        <w:t xml:space="preserve"> Public Body (NDPB) as set out in the Health and Social Care Act 2012. As an NDPB, NICE is accountable to its sponsor department, the Department of Health</w:t>
      </w:r>
      <w:r w:rsidR="304D23A8">
        <w:t xml:space="preserve"> and Social Care</w:t>
      </w:r>
      <w:r>
        <w:t xml:space="preserve">, but operationally it is independent of </w:t>
      </w:r>
      <w:r w:rsidR="304D23A8">
        <w:t>Government</w:t>
      </w:r>
      <w:r>
        <w:t>. NICE guidance and other recommendations are made by independent committees.</w:t>
      </w:r>
    </w:p>
    <w:p w14:paraId="7C43DE0A" w14:textId="364BDE6D" w:rsidR="4D11F769" w:rsidRDefault="4D11F769" w:rsidP="4C0E2C61">
      <w:pPr>
        <w:pStyle w:val="ITTbody1"/>
        <w:ind w:left="0"/>
      </w:pPr>
      <w:r>
        <w:t>NICE has</w:t>
      </w:r>
      <w:r w:rsidR="3216460B">
        <w:t xml:space="preserve"> a range of programmes that produce guidance and advice outputs on medicines, medical and diagnostic technologies, in vitro and molecular diagnostics and digital products</w:t>
      </w:r>
      <w:r w:rsidR="75C3A324">
        <w:t xml:space="preserve"> spanning</w:t>
      </w:r>
      <w:r w:rsidR="1333DD74">
        <w:t xml:space="preserve"> a </w:t>
      </w:r>
      <w:r w:rsidR="19F11E94">
        <w:t xml:space="preserve">wide </w:t>
      </w:r>
      <w:r w:rsidR="1333DD74">
        <w:t>range of clinical, social care and public health topics.</w:t>
      </w:r>
      <w:r w:rsidR="3216460B">
        <w:t xml:space="preserve"> </w:t>
      </w:r>
      <w:r w:rsidR="3BC19B13">
        <w:t>These programmes carry out their work</w:t>
      </w:r>
      <w:r w:rsidR="3216460B">
        <w:t xml:space="preserve"> with stakeholders in the health service, research and academic groups, patient groups, the life sciences industry and government. </w:t>
      </w:r>
      <w:r w:rsidR="3BC19B13">
        <w:t xml:space="preserve">The list of </w:t>
      </w:r>
      <w:r w:rsidR="343D50F1">
        <w:t xml:space="preserve">NICE </w:t>
      </w:r>
      <w:r w:rsidR="3BC19B13">
        <w:t>programmes</w:t>
      </w:r>
      <w:r w:rsidR="343D50F1">
        <w:t xml:space="preserve"> and activities</w:t>
      </w:r>
      <w:r w:rsidR="3BC19B13">
        <w:t xml:space="preserve"> </w:t>
      </w:r>
      <w:r w:rsidR="343D50F1">
        <w:t xml:space="preserve">that may require services under this specification </w:t>
      </w:r>
      <w:r w:rsidR="503CA047">
        <w:t>includes</w:t>
      </w:r>
      <w:r w:rsidR="343D50F1">
        <w:t>:</w:t>
      </w:r>
    </w:p>
    <w:p w14:paraId="388FE214" w14:textId="3F09D6D7" w:rsidR="00655E56" w:rsidRDefault="6B52E39F" w:rsidP="008F18DF">
      <w:pPr>
        <w:pStyle w:val="ITTbody1bullets"/>
        <w:numPr>
          <w:ilvl w:val="0"/>
          <w:numId w:val="9"/>
        </w:numPr>
      </w:pPr>
      <w:r>
        <w:t xml:space="preserve">Commercial and </w:t>
      </w:r>
      <w:r w:rsidR="21A5C0A1">
        <w:t>Managed Access</w:t>
      </w:r>
      <w:r>
        <w:t xml:space="preserve"> Programme</w:t>
      </w:r>
    </w:p>
    <w:p w14:paraId="7B702A72" w14:textId="66132A75" w:rsidR="2D187DB1" w:rsidRDefault="2D187DB1" w:rsidP="008F18DF">
      <w:pPr>
        <w:pStyle w:val="ITTbody1bullets"/>
        <w:numPr>
          <w:ilvl w:val="0"/>
          <w:numId w:val="9"/>
        </w:numPr>
      </w:pPr>
      <w:proofErr w:type="spellStart"/>
      <w:r>
        <w:t>HealthTech</w:t>
      </w:r>
      <w:proofErr w:type="spellEnd"/>
      <w:r>
        <w:t xml:space="preserve"> programme  </w:t>
      </w:r>
    </w:p>
    <w:p w14:paraId="03C04F46" w14:textId="642BCBD7" w:rsidR="00D4774E" w:rsidRDefault="7C98C32B" w:rsidP="008F18DF">
      <w:pPr>
        <w:pStyle w:val="ITTbody1bullets"/>
        <w:numPr>
          <w:ilvl w:val="0"/>
          <w:numId w:val="9"/>
        </w:numPr>
      </w:pPr>
      <w:r>
        <w:t>Medicines</w:t>
      </w:r>
      <w:r w:rsidR="048B19DC">
        <w:t xml:space="preserve"> </w:t>
      </w:r>
      <w:r w:rsidR="44E42462">
        <w:t>Programme</w:t>
      </w:r>
    </w:p>
    <w:p w14:paraId="2388A5E0" w14:textId="5AE3993B" w:rsidR="005B4E91" w:rsidRDefault="19163DF3" w:rsidP="008F18DF">
      <w:pPr>
        <w:pStyle w:val="ITTbody1bullets"/>
        <w:numPr>
          <w:ilvl w:val="0"/>
          <w:numId w:val="9"/>
        </w:numPr>
      </w:pPr>
      <w:r>
        <w:t>Guideline Development Programme</w:t>
      </w:r>
    </w:p>
    <w:p w14:paraId="4E622B4B" w14:textId="64DD647B" w:rsidR="005B4E91" w:rsidRDefault="503CA047" w:rsidP="008F18DF">
      <w:pPr>
        <w:pStyle w:val="ITTbody1bullets"/>
        <w:numPr>
          <w:ilvl w:val="0"/>
          <w:numId w:val="9"/>
        </w:numPr>
      </w:pPr>
      <w:r>
        <w:t>Science Policy and Research Programm</w:t>
      </w:r>
      <w:r w:rsidR="7356D172">
        <w:t>e</w:t>
      </w:r>
    </w:p>
    <w:p w14:paraId="2723AA40" w14:textId="27C7ECBC" w:rsidR="005B4E91" w:rsidRDefault="503CA047" w:rsidP="008F18DF">
      <w:pPr>
        <w:pStyle w:val="ITTbody1bullets"/>
        <w:numPr>
          <w:ilvl w:val="0"/>
          <w:numId w:val="9"/>
        </w:numPr>
      </w:pPr>
      <w:r>
        <w:t>NICE Advice</w:t>
      </w:r>
    </w:p>
    <w:p w14:paraId="55768AAF" w14:textId="546F905C" w:rsidR="301C0272" w:rsidRDefault="5F829A6E" w:rsidP="008F18DF">
      <w:pPr>
        <w:pStyle w:val="ITTbody1bullets"/>
        <w:numPr>
          <w:ilvl w:val="0"/>
          <w:numId w:val="9"/>
        </w:numPr>
      </w:pPr>
      <w:r>
        <w:t>NICE International</w:t>
      </w:r>
    </w:p>
    <w:p w14:paraId="19D1694E" w14:textId="67FD278A" w:rsidR="79DDE528" w:rsidRDefault="6AB1CAB0" w:rsidP="008F18DF">
      <w:pPr>
        <w:pStyle w:val="ITTbody1bullets"/>
        <w:numPr>
          <w:ilvl w:val="0"/>
          <w:numId w:val="9"/>
        </w:numPr>
      </w:pPr>
      <w:r>
        <w:t>HTA Lab</w:t>
      </w:r>
    </w:p>
    <w:p w14:paraId="5DF06E70" w14:textId="3B6F75F9" w:rsidR="79DDE528" w:rsidRDefault="735A60D9" w:rsidP="008F18DF">
      <w:pPr>
        <w:pStyle w:val="ITTbody1bullets"/>
        <w:numPr>
          <w:ilvl w:val="0"/>
          <w:numId w:val="9"/>
        </w:numPr>
      </w:pPr>
      <w:r>
        <w:t>Data and Analytics Programme</w:t>
      </w:r>
    </w:p>
    <w:p w14:paraId="2741676D" w14:textId="17CFF870" w:rsidR="00D4774E" w:rsidRDefault="00B90EFA" w:rsidP="008F18DF">
      <w:pPr>
        <w:pStyle w:val="ITTbody1bullets"/>
        <w:numPr>
          <w:ilvl w:val="0"/>
          <w:numId w:val="9"/>
        </w:numPr>
      </w:pPr>
      <w:r>
        <w:t>O</w:t>
      </w:r>
      <w:r w:rsidR="00D4774E">
        <w:t xml:space="preserve">ther </w:t>
      </w:r>
      <w:r>
        <w:t>NICE teams o</w:t>
      </w:r>
      <w:r w:rsidR="006716DB">
        <w:t>r</w:t>
      </w:r>
      <w:r>
        <w:t xml:space="preserve"> </w:t>
      </w:r>
      <w:r w:rsidR="00D4774E">
        <w:t>activities at NICE as required.</w:t>
      </w:r>
    </w:p>
    <w:p w14:paraId="132979FF" w14:textId="63557EB9" w:rsidR="00DC45CB" w:rsidRPr="00F10222" w:rsidRDefault="49E9EC13" w:rsidP="00B90EFA">
      <w:pPr>
        <w:pStyle w:val="ITTHeading1"/>
      </w:pPr>
      <w:r>
        <w:t xml:space="preserve">The role and main activities of the </w:t>
      </w:r>
      <w:r w:rsidR="62A6701D">
        <w:t>EAG</w:t>
      </w:r>
      <w:r w:rsidR="620BEF06">
        <w:t>s</w:t>
      </w:r>
    </w:p>
    <w:p w14:paraId="5263B92F" w14:textId="50CD78E9" w:rsidR="00E7215E" w:rsidRDefault="7125D393" w:rsidP="1F3C3008">
      <w:pPr>
        <w:pStyle w:val="ITTbody1"/>
        <w:ind w:left="0"/>
      </w:pPr>
      <w:r>
        <w:t xml:space="preserve">NICE is seeking to commission </w:t>
      </w:r>
      <w:r w:rsidR="2EC5C73B">
        <w:t>external assessment group</w:t>
      </w:r>
      <w:r>
        <w:t>s (</w:t>
      </w:r>
      <w:r w:rsidR="62A6701D">
        <w:t>EAG</w:t>
      </w:r>
      <w:r>
        <w:t xml:space="preserve">s) </w:t>
      </w:r>
      <w:r w:rsidR="35A24256">
        <w:t>which will</w:t>
      </w:r>
      <w:r>
        <w:t xml:space="preserve"> provide a </w:t>
      </w:r>
      <w:r w:rsidR="4B1C8C2F">
        <w:t xml:space="preserve">range of </w:t>
      </w:r>
      <w:r>
        <w:t>service</w:t>
      </w:r>
      <w:r w:rsidR="3781D9B7">
        <w:t>s</w:t>
      </w:r>
      <w:r>
        <w:t xml:space="preserve"> to support </w:t>
      </w:r>
      <w:r w:rsidR="4B1C8C2F">
        <w:t xml:space="preserve">its </w:t>
      </w:r>
      <w:r>
        <w:t>programmes</w:t>
      </w:r>
      <w:r w:rsidR="26D68391">
        <w:t xml:space="preserve"> and related activities</w:t>
      </w:r>
      <w:r>
        <w:t xml:space="preserve"> (see </w:t>
      </w:r>
      <w:r w:rsidR="297D260F">
        <w:t>above</w:t>
      </w:r>
      <w:r>
        <w:t xml:space="preserve">). </w:t>
      </w:r>
    </w:p>
    <w:p w14:paraId="2CB5263A" w14:textId="351BCDF8" w:rsidR="006716DB" w:rsidRDefault="00E7215E" w:rsidP="62482726">
      <w:pPr>
        <w:pStyle w:val="ITTbody1"/>
        <w:ind w:left="0"/>
      </w:pPr>
      <w:r>
        <w:t xml:space="preserve">Suppliers can bid for one or more Lots. </w:t>
      </w:r>
      <w:r w:rsidR="00AF2D4B">
        <w:t xml:space="preserve">NICE will consider bids from </w:t>
      </w:r>
      <w:r w:rsidR="00D90EE8">
        <w:t xml:space="preserve">multidisciplinary </w:t>
      </w:r>
      <w:r w:rsidR="355F535B">
        <w:t xml:space="preserve">EAGs </w:t>
      </w:r>
      <w:r w:rsidR="00AF2D4B">
        <w:t>with knowledge and expertise in health technology assessment</w:t>
      </w:r>
      <w:r w:rsidR="487A50B2">
        <w:t>. For Lot 3, this knowledge and experti</w:t>
      </w:r>
      <w:r w:rsidR="116DB6B2">
        <w:t>s</w:t>
      </w:r>
      <w:r w:rsidR="487A50B2">
        <w:t>e will be further</w:t>
      </w:r>
      <w:r w:rsidR="00AF2D4B">
        <w:t xml:space="preserve"> enhanced by a close association with frontline clinical services in areas related to medical technologies such as imaging or in vitro diagnostics.</w:t>
      </w:r>
      <w:r w:rsidR="005B01DB">
        <w:t xml:space="preserve"> </w:t>
      </w:r>
    </w:p>
    <w:p w14:paraId="2CD8C1D5" w14:textId="2A91D594" w:rsidR="00AF2D4B" w:rsidRDefault="426058F9" w:rsidP="3BF7A29E">
      <w:pPr>
        <w:pStyle w:val="ITTbody1"/>
        <w:ind w:left="0"/>
        <w:rPr>
          <w:rFonts w:eastAsia="Arial"/>
          <w:color w:val="000000" w:themeColor="text1"/>
        </w:rPr>
      </w:pPr>
      <w:r>
        <w:t xml:space="preserve">Suppliers intending to provide services in Lot </w:t>
      </w:r>
      <w:r w:rsidR="1D669610">
        <w:t>2</w:t>
      </w:r>
      <w:r>
        <w:t xml:space="preserve"> will have significant expertise and experience of</w:t>
      </w:r>
      <w:r w:rsidR="420CE16F" w:rsidRPr="3BF7A29E">
        <w:rPr>
          <w:rFonts w:eastAsia="Arial"/>
          <w:color w:val="000000" w:themeColor="text1"/>
        </w:rPr>
        <w:t xml:space="preserve"> a range of methodological, evidence synthesis, and complex decision </w:t>
      </w:r>
      <w:r w:rsidR="420CE16F" w:rsidRPr="3BF7A29E">
        <w:rPr>
          <w:rFonts w:eastAsia="Arial"/>
          <w:color w:val="000000" w:themeColor="text1"/>
        </w:rPr>
        <w:lastRenderedPageBreak/>
        <w:t xml:space="preserve">analytic modelling support for guideline development and technology evaluation. </w:t>
      </w:r>
      <w:r w:rsidR="5BF5237A" w:rsidRPr="3BF7A29E">
        <w:rPr>
          <w:rFonts w:eastAsia="Arial"/>
          <w:color w:val="000000" w:themeColor="text1"/>
        </w:rPr>
        <w:t xml:space="preserve">Suppliers bidding under Lot 2 will need to be able to apply appropriate methodological, analytical and other advice to all guideline and technology types that are in remit for NICE, including Health Technology Evaluation outputs (pharmaceuticals, diagnostics, medical device and digital technologies, combination products etc.) and Guidelines topics covering public health, social and clinical areas.  </w:t>
      </w:r>
    </w:p>
    <w:p w14:paraId="1B75E414" w14:textId="3ABC8689" w:rsidR="00AF2D4B" w:rsidRDefault="1419E0F6" w:rsidP="02C42955">
      <w:pPr>
        <w:pStyle w:val="ITTbody1"/>
        <w:ind w:left="0"/>
      </w:pPr>
      <w:r>
        <w:t xml:space="preserve">NICE will consider proposals from consortia or networks of organisations meeting the selection criteria </w:t>
      </w:r>
      <w:r w:rsidR="75D06005">
        <w:t>and encourages potential suppliers to explore collaborations that will result in the offer of a comprehensive range of services.</w:t>
      </w:r>
    </w:p>
    <w:p w14:paraId="14BB8432" w14:textId="64FEF50B" w:rsidR="00AF2D4B" w:rsidRPr="00B5468A" w:rsidRDefault="49E9EC13" w:rsidP="007D2E7E">
      <w:pPr>
        <w:pStyle w:val="Heading2"/>
        <w:ind w:left="709" w:hanging="709"/>
      </w:pPr>
      <w:r>
        <w:t xml:space="preserve">Main activities </w:t>
      </w:r>
      <w:r w:rsidR="620BEF06">
        <w:t xml:space="preserve">of the </w:t>
      </w:r>
      <w:r w:rsidR="62A6701D">
        <w:t>EAG</w:t>
      </w:r>
      <w:r w:rsidR="620BEF06">
        <w:t>s</w:t>
      </w:r>
      <w:r w:rsidR="6726652B">
        <w:t xml:space="preserve"> in </w:t>
      </w:r>
      <w:r w:rsidR="00DA12E8">
        <w:t>each</w:t>
      </w:r>
      <w:r w:rsidR="6726652B">
        <w:t xml:space="preserve"> framework Lot</w:t>
      </w:r>
    </w:p>
    <w:p w14:paraId="78CB3D17" w14:textId="2C429822" w:rsidR="00AF2D4B" w:rsidRDefault="7125D393" w:rsidP="1F3C3008">
      <w:pPr>
        <w:pStyle w:val="ITTbody1"/>
        <w:ind w:left="0"/>
      </w:pPr>
      <w:r>
        <w:t xml:space="preserve">NICE commissions </w:t>
      </w:r>
      <w:r w:rsidR="62A6701D">
        <w:t>EAG</w:t>
      </w:r>
      <w:r>
        <w:t xml:space="preserve">s to support </w:t>
      </w:r>
      <w:r w:rsidR="6B9F3545">
        <w:t xml:space="preserve">its </w:t>
      </w:r>
      <w:r w:rsidR="7C9A5117">
        <w:t xml:space="preserve">guidance development </w:t>
      </w:r>
      <w:r>
        <w:t xml:space="preserve">programmes in the following key areas and tasks, which are fully described in </w:t>
      </w:r>
      <w:r w:rsidR="5A0442E4">
        <w:t xml:space="preserve">specification documents specific to </w:t>
      </w:r>
      <w:r w:rsidR="009244A3">
        <w:t>each</w:t>
      </w:r>
      <w:r w:rsidR="5A0442E4">
        <w:t xml:space="preserve"> Lot</w:t>
      </w:r>
      <w:r w:rsidR="3F1A8B20">
        <w:t>.</w:t>
      </w:r>
    </w:p>
    <w:p w14:paraId="27F38DC6" w14:textId="77816BC3" w:rsidR="00064203" w:rsidRPr="0048031B" w:rsidRDefault="66A01EE3" w:rsidP="00373C4F">
      <w:pPr>
        <w:pStyle w:val="Heading3"/>
        <w:spacing w:before="360" w:after="120"/>
        <w:ind w:left="709" w:hanging="709"/>
        <w:rPr>
          <w:sz w:val="24"/>
          <w:szCs w:val="24"/>
        </w:rPr>
      </w:pPr>
      <w:r w:rsidRPr="0048031B">
        <w:rPr>
          <w:sz w:val="24"/>
          <w:szCs w:val="24"/>
        </w:rPr>
        <w:t xml:space="preserve">Lot 1 </w:t>
      </w:r>
      <w:r w:rsidR="4C55D26F" w:rsidRPr="0048031B">
        <w:rPr>
          <w:sz w:val="24"/>
          <w:szCs w:val="24"/>
        </w:rPr>
        <w:t>–</w:t>
      </w:r>
      <w:r w:rsidRPr="0048031B">
        <w:rPr>
          <w:sz w:val="24"/>
          <w:szCs w:val="24"/>
        </w:rPr>
        <w:t xml:space="preserve"> </w:t>
      </w:r>
      <w:r w:rsidR="69CE0ED1" w:rsidRPr="0048031B">
        <w:rPr>
          <w:sz w:val="24"/>
          <w:szCs w:val="24"/>
        </w:rPr>
        <w:t>Clinical and Economic Evidence Assessment</w:t>
      </w:r>
    </w:p>
    <w:p w14:paraId="5BE634E9" w14:textId="189C40F3" w:rsidR="49916217" w:rsidRDefault="49916217" w:rsidP="02C42955">
      <w:pPr>
        <w:pStyle w:val="ITTbody1"/>
        <w:ind w:left="0"/>
      </w:pPr>
      <w:r>
        <w:t xml:space="preserve">Including: critical appraisal of clinical and economic evidence to support the development of NICE outputs; evidence synthesis; de novo economic modelling and critiquing and revising existing models; systematic review and meta-analysis; supporting scoping of </w:t>
      </w:r>
      <w:r w:rsidR="104C1F20">
        <w:t>evaluation topics</w:t>
      </w:r>
      <w:r>
        <w:t>;</w:t>
      </w:r>
      <w:r w:rsidR="6628B7D9">
        <w:t xml:space="preserve"> user preference assessment or structured elicitation,</w:t>
      </w:r>
      <w:r>
        <w:t xml:space="preserve"> confirmation and review of regulatory status to the evaluation programmes.  </w:t>
      </w:r>
    </w:p>
    <w:p w14:paraId="22DE5BC1" w14:textId="13BE8BE1" w:rsidR="00064203" w:rsidRPr="0048031B" w:rsidRDefault="66A01EE3" w:rsidP="00373C4F">
      <w:pPr>
        <w:pStyle w:val="Heading3"/>
        <w:spacing w:before="360" w:after="120"/>
        <w:ind w:left="709" w:hanging="709"/>
        <w:rPr>
          <w:sz w:val="24"/>
          <w:szCs w:val="24"/>
        </w:rPr>
      </w:pPr>
      <w:bookmarkStart w:id="14" w:name="_Toc484419250"/>
      <w:bookmarkStart w:id="15" w:name="_Toc484422197"/>
      <w:bookmarkEnd w:id="14"/>
      <w:bookmarkEnd w:id="15"/>
      <w:r w:rsidRPr="0048031B">
        <w:rPr>
          <w:sz w:val="24"/>
          <w:szCs w:val="24"/>
        </w:rPr>
        <w:t xml:space="preserve">Lot 2 </w:t>
      </w:r>
      <w:r w:rsidR="4C55D26F" w:rsidRPr="0048031B">
        <w:rPr>
          <w:sz w:val="24"/>
          <w:szCs w:val="24"/>
        </w:rPr>
        <w:t>–</w:t>
      </w:r>
      <w:r w:rsidRPr="0048031B">
        <w:rPr>
          <w:sz w:val="24"/>
          <w:szCs w:val="24"/>
        </w:rPr>
        <w:t xml:space="preserve"> </w:t>
      </w:r>
      <w:r w:rsidR="3BBD9A81" w:rsidRPr="0048031B">
        <w:rPr>
          <w:sz w:val="24"/>
          <w:szCs w:val="24"/>
        </w:rPr>
        <w:t>Technical and Decision Support</w:t>
      </w:r>
      <w:r w:rsidR="4BC66B6C" w:rsidRPr="0048031B">
        <w:rPr>
          <w:sz w:val="24"/>
          <w:szCs w:val="24"/>
        </w:rPr>
        <w:t xml:space="preserve"> </w:t>
      </w:r>
    </w:p>
    <w:p w14:paraId="3710B924" w14:textId="1541CE83" w:rsidR="072178C3" w:rsidRDefault="6B52E39F" w:rsidP="6877AA04">
      <w:pPr>
        <w:pStyle w:val="ITTbody1"/>
        <w:ind w:left="0"/>
        <w:rPr>
          <w:rStyle w:val="normaltextrun"/>
          <w:rFonts w:ascii="Arial" w:eastAsia="Arial" w:hAnsi="Arial" w:cs="Arial"/>
          <w:color w:val="000000" w:themeColor="text1"/>
        </w:rPr>
      </w:pPr>
      <w:r>
        <w:t xml:space="preserve">Including: </w:t>
      </w:r>
      <w:r w:rsidR="2A285D41" w:rsidRPr="6877AA04">
        <w:rPr>
          <w:rStyle w:val="normaltextrun"/>
          <w:rFonts w:ascii="Arial" w:eastAsia="Arial" w:hAnsi="Arial" w:cs="Arial"/>
          <w:color w:val="000000" w:themeColor="text1"/>
        </w:rPr>
        <w:t>providing</w:t>
      </w:r>
      <w:r w:rsidR="1126AA97" w:rsidRPr="6877AA04">
        <w:rPr>
          <w:rStyle w:val="normaltextrun"/>
          <w:rFonts w:ascii="Arial" w:eastAsia="Arial" w:hAnsi="Arial" w:cs="Arial"/>
          <w:color w:val="000000" w:themeColor="text1"/>
        </w:rPr>
        <w:t xml:space="preserve"> </w:t>
      </w:r>
      <w:r w:rsidR="596D8EFB" w:rsidRPr="6877AA04">
        <w:rPr>
          <w:rStyle w:val="normaltextrun"/>
          <w:rFonts w:ascii="Arial" w:eastAsia="Arial" w:hAnsi="Arial" w:cs="Arial"/>
          <w:color w:val="000000" w:themeColor="text1"/>
        </w:rPr>
        <w:t xml:space="preserve">advanced </w:t>
      </w:r>
      <w:r w:rsidR="1126AA97" w:rsidRPr="6877AA04">
        <w:rPr>
          <w:rStyle w:val="normaltextrun"/>
          <w:rFonts w:ascii="Arial" w:eastAsia="Arial" w:hAnsi="Arial" w:cs="Arial"/>
          <w:color w:val="000000" w:themeColor="text1"/>
        </w:rPr>
        <w:t>methodological and analytical advice and support to NICE’s technical teams and committees</w:t>
      </w:r>
      <w:r w:rsidR="3B3C042D">
        <w:t xml:space="preserve"> </w:t>
      </w:r>
      <w:r w:rsidR="3B3C042D" w:rsidRPr="6877AA04">
        <w:rPr>
          <w:rStyle w:val="normaltextrun"/>
          <w:rFonts w:ascii="Arial" w:eastAsia="Arial" w:hAnsi="Arial" w:cs="Arial"/>
          <w:color w:val="000000" w:themeColor="text1"/>
        </w:rPr>
        <w:t>on all guideline and technology types that are in remit for NICE, including Health Technology Evaluation (HTE) outputs (pharmaceuticals, diagnostics, medical device and digital technologies, combination products etc.) and Guidelines topics covering public health, social and clinical areas.</w:t>
      </w:r>
      <w:r w:rsidR="28F1E637">
        <w:t xml:space="preserve"> </w:t>
      </w:r>
      <w:r w:rsidR="742F84C1">
        <w:t xml:space="preserve">This </w:t>
      </w:r>
      <w:r w:rsidR="4E2C3417">
        <w:t>includes</w:t>
      </w:r>
      <w:r w:rsidR="28F1E637">
        <w:t xml:space="preserve"> </w:t>
      </w:r>
      <w:r w:rsidR="28F1E637" w:rsidRPr="6877AA04">
        <w:rPr>
          <w:rStyle w:val="normaltextrun"/>
          <w:rFonts w:ascii="Arial" w:eastAsia="Arial" w:hAnsi="Arial" w:cs="Arial"/>
          <w:color w:val="000000" w:themeColor="text1"/>
        </w:rPr>
        <w:t>providing evidence synthesis, data analytics, complex decision analytical modelling and health economic support</w:t>
      </w:r>
      <w:r w:rsidR="54EB4E5B" w:rsidRPr="6877AA04">
        <w:rPr>
          <w:rStyle w:val="normaltextrun"/>
          <w:rFonts w:ascii="Arial" w:eastAsia="Arial" w:hAnsi="Arial" w:cs="Arial"/>
          <w:color w:val="000000" w:themeColor="text1"/>
        </w:rPr>
        <w:t xml:space="preserve">; </w:t>
      </w:r>
      <w:r w:rsidR="47141EA7" w:rsidRPr="6877AA04">
        <w:rPr>
          <w:rStyle w:val="normaltextrun"/>
          <w:rFonts w:ascii="Arial" w:eastAsia="Arial" w:hAnsi="Arial" w:cs="Arial"/>
          <w:color w:val="000000" w:themeColor="text1"/>
        </w:rPr>
        <w:t>p</w:t>
      </w:r>
      <w:r w:rsidR="59E3B660" w:rsidRPr="6877AA04">
        <w:rPr>
          <w:rStyle w:val="normaltextrun"/>
          <w:rFonts w:ascii="Arial" w:eastAsia="Arial" w:hAnsi="Arial" w:cs="Arial"/>
          <w:color w:val="000000" w:themeColor="text1"/>
        </w:rPr>
        <w:t>roviding a technical rapid response service and quality assurance input for guidance products</w:t>
      </w:r>
      <w:r w:rsidR="21DFA761" w:rsidRPr="6877AA04">
        <w:rPr>
          <w:rStyle w:val="normaltextrun"/>
          <w:rFonts w:ascii="Arial" w:eastAsia="Arial" w:hAnsi="Arial" w:cs="Arial"/>
          <w:color w:val="000000" w:themeColor="text1"/>
        </w:rPr>
        <w:t>; development and provision of guidance methods training, covering evidence synthesis, data analytics, decision analytical modelling and health economics</w:t>
      </w:r>
      <w:r w:rsidR="083949D0" w:rsidRPr="6877AA04">
        <w:rPr>
          <w:rStyle w:val="normaltextrun"/>
          <w:rFonts w:ascii="Arial" w:eastAsia="Arial" w:hAnsi="Arial" w:cs="Arial"/>
          <w:color w:val="000000" w:themeColor="text1"/>
        </w:rPr>
        <w:t>.</w:t>
      </w:r>
    </w:p>
    <w:p w14:paraId="4781C37B" w14:textId="65D63751" w:rsidR="00064203" w:rsidRPr="0048031B" w:rsidRDefault="66A01EE3" w:rsidP="00373C4F">
      <w:pPr>
        <w:pStyle w:val="Heading3"/>
        <w:spacing w:before="360" w:after="120"/>
        <w:ind w:left="709" w:hanging="709"/>
        <w:rPr>
          <w:sz w:val="24"/>
          <w:szCs w:val="24"/>
        </w:rPr>
      </w:pPr>
      <w:r w:rsidRPr="0048031B">
        <w:rPr>
          <w:sz w:val="24"/>
          <w:szCs w:val="24"/>
        </w:rPr>
        <w:t xml:space="preserve">Lot </w:t>
      </w:r>
      <w:r w:rsidR="3D7D6345" w:rsidRPr="0048031B">
        <w:rPr>
          <w:sz w:val="24"/>
          <w:szCs w:val="24"/>
        </w:rPr>
        <w:t>3</w:t>
      </w:r>
      <w:r w:rsidRPr="0048031B">
        <w:rPr>
          <w:sz w:val="24"/>
          <w:szCs w:val="24"/>
        </w:rPr>
        <w:t xml:space="preserve"> - </w:t>
      </w:r>
      <w:r w:rsidR="3D7D6345" w:rsidRPr="0048031B">
        <w:rPr>
          <w:sz w:val="24"/>
          <w:szCs w:val="24"/>
        </w:rPr>
        <w:t xml:space="preserve">Evidence Generation </w:t>
      </w:r>
      <w:r w:rsidR="7E6D6730" w:rsidRPr="0048031B">
        <w:rPr>
          <w:sz w:val="24"/>
          <w:szCs w:val="24"/>
        </w:rPr>
        <w:t xml:space="preserve">to support </w:t>
      </w:r>
      <w:r w:rsidR="3D7D6345" w:rsidRPr="0048031B">
        <w:rPr>
          <w:sz w:val="24"/>
          <w:szCs w:val="24"/>
        </w:rPr>
        <w:t>Access</w:t>
      </w:r>
    </w:p>
    <w:p w14:paraId="08188D7D" w14:textId="6F3B7BA3" w:rsidR="001915F4" w:rsidRDefault="24BB22B6" w:rsidP="258DAB75">
      <w:pPr>
        <w:pStyle w:val="ITTbody1"/>
        <w:ind w:left="0"/>
        <w:rPr>
          <w:lang w:eastAsia="en-GB" w:bidi="ar-SA"/>
        </w:rPr>
      </w:pPr>
      <w:bookmarkStart w:id="16" w:name="_Hlk81904583"/>
      <w:r>
        <w:t xml:space="preserve">Including: </w:t>
      </w:r>
      <w:bookmarkEnd w:id="16"/>
      <w:r w:rsidR="304E5A72">
        <w:t>E</w:t>
      </w:r>
      <w:r w:rsidR="3D7D6345">
        <w:t xml:space="preserve">vidence generation using existing registers or databases, feasibility studies, </w:t>
      </w:r>
      <w:r w:rsidR="3D7D6345" w:rsidRPr="02C42955">
        <w:rPr>
          <w:lang w:eastAsia="en-GB" w:bidi="ar-SA"/>
        </w:rPr>
        <w:t>data protocol development, pilot studies</w:t>
      </w:r>
      <w:r w:rsidR="650A5887" w:rsidRPr="02C42955">
        <w:rPr>
          <w:lang w:eastAsia="en-GB" w:bidi="ar-SA"/>
        </w:rPr>
        <w:t xml:space="preserve">; </w:t>
      </w:r>
      <w:r w:rsidR="3D7D6345" w:rsidRPr="02C42955">
        <w:rPr>
          <w:lang w:eastAsia="en-GB" w:bidi="ar-SA"/>
        </w:rPr>
        <w:t>data collection and active surveillance</w:t>
      </w:r>
      <w:r w:rsidR="650A5887" w:rsidRPr="02C42955">
        <w:rPr>
          <w:lang w:eastAsia="en-GB" w:bidi="ar-SA"/>
        </w:rPr>
        <w:t>;</w:t>
      </w:r>
      <w:r w:rsidR="3D7D6345" w:rsidRPr="02C42955">
        <w:rPr>
          <w:lang w:eastAsia="en-GB" w:bidi="ar-SA"/>
        </w:rPr>
        <w:t xml:space="preserve"> data linkage and complex modelling and/or analyses</w:t>
      </w:r>
      <w:r w:rsidR="650A5887" w:rsidRPr="02C42955">
        <w:rPr>
          <w:lang w:eastAsia="en-GB" w:bidi="ar-SA"/>
        </w:rPr>
        <w:t>;</w:t>
      </w:r>
      <w:r w:rsidR="3D7D6345" w:rsidRPr="02C42955">
        <w:rPr>
          <w:lang w:eastAsia="en-GB" w:bidi="ar-SA"/>
        </w:rPr>
        <w:t xml:space="preserve"> </w:t>
      </w:r>
      <w:r w:rsidR="645D20E7" w:rsidRPr="02C42955">
        <w:rPr>
          <w:lang w:eastAsia="en-GB" w:bidi="ar-SA"/>
        </w:rPr>
        <w:t>register set up and close</w:t>
      </w:r>
      <w:r w:rsidR="000D1301">
        <w:rPr>
          <w:lang w:eastAsia="en-GB" w:bidi="ar-SA"/>
        </w:rPr>
        <w:t>.</w:t>
      </w:r>
      <w:r w:rsidR="645D20E7" w:rsidRPr="02C42955">
        <w:rPr>
          <w:lang w:eastAsia="en-GB" w:bidi="ar-SA"/>
        </w:rPr>
        <w:t xml:space="preserve"> </w:t>
      </w:r>
    </w:p>
    <w:p w14:paraId="0787A002" w14:textId="2E4F173F" w:rsidR="3F957CF8" w:rsidRPr="0048031B" w:rsidRDefault="3F957CF8" w:rsidP="00373C4F">
      <w:pPr>
        <w:pStyle w:val="Heading3"/>
        <w:spacing w:before="360" w:after="120"/>
        <w:ind w:left="709" w:hanging="709"/>
        <w:rPr>
          <w:sz w:val="24"/>
          <w:szCs w:val="24"/>
        </w:rPr>
      </w:pPr>
      <w:r w:rsidRPr="0048031B">
        <w:rPr>
          <w:sz w:val="24"/>
          <w:szCs w:val="24"/>
        </w:rPr>
        <w:t>Lot 4</w:t>
      </w:r>
      <w:r w:rsidR="2E678ED9" w:rsidRPr="0048031B">
        <w:rPr>
          <w:sz w:val="24"/>
          <w:szCs w:val="24"/>
        </w:rPr>
        <w:t xml:space="preserve"> Research governance &amp; ethics support</w:t>
      </w:r>
    </w:p>
    <w:p w14:paraId="2375CAD8" w14:textId="18EB6D1D" w:rsidR="2E678ED9" w:rsidRDefault="2E678ED9" w:rsidP="39A26D9B">
      <w:pPr>
        <w:pStyle w:val="ITTbody1"/>
        <w:ind w:left="0"/>
      </w:pPr>
      <w:r w:rsidRPr="68CDFC4F">
        <w:t>Including: advice on research governance and ethics support including access to a research ethics committee.</w:t>
      </w:r>
    </w:p>
    <w:p w14:paraId="53557ED6" w14:textId="0135C8AF" w:rsidR="79651AA4" w:rsidRDefault="79651AA4" w:rsidP="79651AA4">
      <w:pPr>
        <w:pStyle w:val="ITTbody1"/>
        <w:ind w:left="0"/>
      </w:pPr>
    </w:p>
    <w:p w14:paraId="777A6409" w14:textId="73484983" w:rsidR="000B3719" w:rsidRPr="00B5468A" w:rsidRDefault="00564D79" w:rsidP="000B3719">
      <w:pPr>
        <w:pStyle w:val="Heading2"/>
        <w:ind w:left="709" w:hanging="709"/>
      </w:pPr>
      <w:r>
        <w:t>Readiness of the EA</w:t>
      </w:r>
      <w:r w:rsidR="00FD4DB4">
        <w:t>G</w:t>
      </w:r>
    </w:p>
    <w:p w14:paraId="2D5CA348" w14:textId="21C8B325" w:rsidR="000B3719" w:rsidRDefault="00564D79" w:rsidP="000B3719">
      <w:pPr>
        <w:pStyle w:val="ITTbody1"/>
        <w:ind w:left="0"/>
      </w:pPr>
      <w:r>
        <w:t xml:space="preserve">All EAGs </w:t>
      </w:r>
      <w:r w:rsidR="00073B90">
        <w:t>must be ready to accept Work Packages at the start the contract</w:t>
      </w:r>
      <w:r w:rsidR="002B41B9">
        <w:t xml:space="preserve"> start date</w:t>
      </w:r>
      <w:r w:rsidR="00073B90">
        <w:t xml:space="preserve">. </w:t>
      </w:r>
      <w:r w:rsidR="00AD74FF">
        <w:t xml:space="preserve">Where the EAG is a consortium all governance and </w:t>
      </w:r>
      <w:r w:rsidR="002B41B9">
        <w:t>project allocation / management between the parties must also be in place ready to the contract start date including all sub-contractors</w:t>
      </w:r>
      <w:r w:rsidR="000B3719">
        <w:t>.</w:t>
      </w:r>
    </w:p>
    <w:p w14:paraId="7C779C1A" w14:textId="77777777" w:rsidR="000B3719" w:rsidRDefault="000B3719" w:rsidP="1F3C3008">
      <w:pPr>
        <w:pStyle w:val="ITTbody1"/>
        <w:ind w:left="0"/>
      </w:pPr>
    </w:p>
    <w:p w14:paraId="404B1906" w14:textId="78D1209C" w:rsidR="00C07A11" w:rsidRDefault="3B016B5D" w:rsidP="1F3C3008">
      <w:pPr>
        <w:pStyle w:val="ITTbody1"/>
        <w:ind w:left="0"/>
      </w:pPr>
      <w:r>
        <w:t>T</w:t>
      </w:r>
      <w:r w:rsidR="65DB6F08">
        <w:t xml:space="preserve">he following sections list the general approach NICE takes to the work carried out by the </w:t>
      </w:r>
      <w:r w:rsidR="62A6701D">
        <w:t>EAG</w:t>
      </w:r>
      <w:r w:rsidR="65DB6F08">
        <w:t xml:space="preserve">s, followed by details </w:t>
      </w:r>
      <w:r w:rsidR="091E73BB">
        <w:t xml:space="preserve">of </w:t>
      </w:r>
      <w:r w:rsidR="5DAABDB2">
        <w:t xml:space="preserve">work packages issued under </w:t>
      </w:r>
      <w:r w:rsidR="004E5587">
        <w:t>each</w:t>
      </w:r>
      <w:r w:rsidR="5DAABDB2">
        <w:t xml:space="preserve"> Lot and</w:t>
      </w:r>
      <w:r w:rsidR="65DB6F08">
        <w:t xml:space="preserve"> specific </w:t>
      </w:r>
      <w:r w:rsidR="5DAABDB2">
        <w:t>details of the modules of work generally included in standard work packages</w:t>
      </w:r>
      <w:r w:rsidR="65DB6F08">
        <w:t xml:space="preserve">. </w:t>
      </w:r>
    </w:p>
    <w:p w14:paraId="7DC067E8" w14:textId="62320034" w:rsidR="00C07A11" w:rsidRDefault="00C07A11" w:rsidP="1F3C3008">
      <w:pPr>
        <w:pStyle w:val="ITTBody3"/>
        <w:ind w:left="851"/>
        <w:sectPr w:rsidR="00C07A11" w:rsidSect="0037601E">
          <w:headerReference w:type="default" r:id="rId11"/>
          <w:footerReference w:type="default" r:id="rId12"/>
          <w:pgSz w:w="11907" w:h="16839" w:code="9"/>
          <w:pgMar w:top="1440" w:right="1440" w:bottom="1440" w:left="1440" w:header="708" w:footer="708" w:gutter="0"/>
          <w:cols w:space="708"/>
          <w:docGrid w:linePitch="360"/>
        </w:sectPr>
      </w:pPr>
    </w:p>
    <w:p w14:paraId="4665C822" w14:textId="73298413" w:rsidR="00F8551A" w:rsidRPr="009B7687" w:rsidRDefault="00F8551A" w:rsidP="009B7687">
      <w:pPr>
        <w:pStyle w:val="ITTBody"/>
        <w:numPr>
          <w:ilvl w:val="0"/>
          <w:numId w:val="0"/>
        </w:numPr>
        <w:ind w:left="1163" w:hanging="1021"/>
        <w:rPr>
          <w:b/>
          <w:sz w:val="28"/>
          <w:szCs w:val="28"/>
        </w:rPr>
      </w:pPr>
      <w:bookmarkStart w:id="17" w:name="_Toc483313605"/>
      <w:bookmarkEnd w:id="17"/>
      <w:r w:rsidRPr="009B7687">
        <w:rPr>
          <w:b/>
          <w:sz w:val="28"/>
          <w:szCs w:val="28"/>
        </w:rPr>
        <w:lastRenderedPageBreak/>
        <w:t>T</w:t>
      </w:r>
      <w:r w:rsidR="0083543F" w:rsidRPr="009B7687">
        <w:rPr>
          <w:b/>
          <w:sz w:val="28"/>
          <w:szCs w:val="28"/>
        </w:rPr>
        <w:t>able 1</w:t>
      </w:r>
      <w:r w:rsidRPr="009B7687">
        <w:rPr>
          <w:b/>
          <w:sz w:val="28"/>
          <w:szCs w:val="28"/>
        </w:rPr>
        <w:t xml:space="preserve"> - Work Package types </w:t>
      </w:r>
      <w:r w:rsidR="0083543F" w:rsidRPr="009B7687">
        <w:rPr>
          <w:b/>
          <w:sz w:val="28"/>
          <w:szCs w:val="28"/>
        </w:rPr>
        <w:t>and</w:t>
      </w:r>
      <w:r w:rsidRPr="009B7687">
        <w:rPr>
          <w:b/>
          <w:sz w:val="28"/>
          <w:szCs w:val="28"/>
        </w:rPr>
        <w:t xml:space="preserve"> modules</w:t>
      </w:r>
      <w:r w:rsidR="0083543F" w:rsidRPr="009B7687">
        <w:rPr>
          <w:b/>
          <w:sz w:val="28"/>
          <w:szCs w:val="28"/>
        </w:rPr>
        <w:t xml:space="preserve"> normally required</w:t>
      </w:r>
      <w:r w:rsidR="002816FE" w:rsidRPr="009B7687">
        <w:rPr>
          <w:b/>
          <w:sz w:val="28"/>
          <w:szCs w:val="28"/>
        </w:rPr>
        <w:t xml:space="preserve"> for </w:t>
      </w:r>
      <w:r w:rsidR="00AE77DD" w:rsidRPr="009B7687">
        <w:rPr>
          <w:b/>
          <w:sz w:val="28"/>
          <w:szCs w:val="28"/>
        </w:rPr>
        <w:t>standard</w:t>
      </w:r>
      <w:r w:rsidR="002816FE" w:rsidRPr="009B7687">
        <w:rPr>
          <w:b/>
          <w:sz w:val="28"/>
          <w:szCs w:val="28"/>
        </w:rPr>
        <w:t xml:space="preserve"> Work Packages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435"/>
        <w:gridCol w:w="1200"/>
        <w:gridCol w:w="5115"/>
        <w:gridCol w:w="4155"/>
      </w:tblGrid>
      <w:tr w:rsidR="7DD0602E" w14:paraId="7F69B59A" w14:textId="77777777" w:rsidTr="62482726">
        <w:trPr>
          <w:trHeight w:val="300"/>
        </w:trPr>
        <w:tc>
          <w:tcPr>
            <w:tcW w:w="3435" w:type="dxa"/>
            <w:tcBorders>
              <w:bottom w:val="single" w:sz="6" w:space="0" w:color="auto"/>
            </w:tcBorders>
            <w:tcMar>
              <w:left w:w="105" w:type="dxa"/>
              <w:right w:w="105" w:type="dxa"/>
            </w:tcMar>
          </w:tcPr>
          <w:p w14:paraId="3BCAC9B6" w14:textId="46D6B5F8"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Typical work package type</w:t>
            </w:r>
          </w:p>
        </w:tc>
        <w:tc>
          <w:tcPr>
            <w:tcW w:w="1200" w:type="dxa"/>
            <w:tcBorders>
              <w:bottom w:val="single" w:sz="6" w:space="0" w:color="auto"/>
            </w:tcBorders>
            <w:tcMar>
              <w:left w:w="105" w:type="dxa"/>
              <w:right w:w="105" w:type="dxa"/>
            </w:tcMar>
          </w:tcPr>
          <w:p w14:paraId="78475C92" w14:textId="5CC09D6D"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Lot No.</w:t>
            </w:r>
          </w:p>
        </w:tc>
        <w:tc>
          <w:tcPr>
            <w:tcW w:w="5115" w:type="dxa"/>
            <w:tcMar>
              <w:left w:w="105" w:type="dxa"/>
              <w:right w:w="105" w:type="dxa"/>
            </w:tcMar>
          </w:tcPr>
          <w:p w14:paraId="00648E6B" w14:textId="2744B81A"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 xml:space="preserve">Modules normally* required </w:t>
            </w:r>
          </w:p>
        </w:tc>
        <w:tc>
          <w:tcPr>
            <w:tcW w:w="4155" w:type="dxa"/>
            <w:tcMar>
              <w:left w:w="105" w:type="dxa"/>
              <w:right w:w="105" w:type="dxa"/>
            </w:tcMar>
          </w:tcPr>
          <w:p w14:paraId="5CD2AA04" w14:textId="13C5C341"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Used for</w:t>
            </w:r>
          </w:p>
        </w:tc>
      </w:tr>
      <w:tr w:rsidR="7DD0602E" w14:paraId="79A41FC2" w14:textId="77777777" w:rsidTr="62482726">
        <w:trPr>
          <w:trHeight w:val="300"/>
        </w:trPr>
        <w:tc>
          <w:tcPr>
            <w:tcW w:w="13905" w:type="dxa"/>
            <w:gridSpan w:val="4"/>
            <w:tcBorders>
              <w:bottom w:val="single" w:sz="6" w:space="0" w:color="auto"/>
            </w:tcBorders>
            <w:tcMar>
              <w:left w:w="105" w:type="dxa"/>
              <w:right w:w="105" w:type="dxa"/>
            </w:tcMar>
          </w:tcPr>
          <w:p w14:paraId="003D72E2" w14:textId="10112D8C"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 xml:space="preserve">Lot 1 – for developing </w:t>
            </w:r>
            <w:proofErr w:type="spellStart"/>
            <w:r w:rsidRPr="02C42955">
              <w:rPr>
                <w:rFonts w:eastAsia="Arial" w:cs="Arial"/>
                <w:b/>
                <w:bCs/>
                <w:color w:val="000000" w:themeColor="text1"/>
              </w:rPr>
              <w:t>HealthTech</w:t>
            </w:r>
            <w:proofErr w:type="spellEnd"/>
            <w:r w:rsidRPr="02C42955">
              <w:rPr>
                <w:rFonts w:eastAsia="Arial" w:cs="Arial"/>
                <w:b/>
                <w:bCs/>
                <w:color w:val="000000" w:themeColor="text1"/>
              </w:rPr>
              <w:t xml:space="preserve"> guidance </w:t>
            </w:r>
          </w:p>
        </w:tc>
      </w:tr>
      <w:tr w:rsidR="00FD6D24" w14:paraId="4371058B" w14:textId="77777777" w:rsidTr="62482726">
        <w:trPr>
          <w:trHeight w:val="300"/>
        </w:trPr>
        <w:tc>
          <w:tcPr>
            <w:tcW w:w="3435" w:type="dxa"/>
            <w:vMerge w:val="restart"/>
            <w:tcBorders>
              <w:bottom w:val="single" w:sz="6" w:space="0" w:color="auto"/>
            </w:tcBorders>
            <w:tcMar>
              <w:left w:w="105" w:type="dxa"/>
              <w:right w:w="105" w:type="dxa"/>
            </w:tcMar>
          </w:tcPr>
          <w:p w14:paraId="5C2C9611" w14:textId="0646E4DA" w:rsidR="00FD6D24" w:rsidRDefault="00FD6D24" w:rsidP="02C42955">
            <w:pPr>
              <w:pStyle w:val="Paragraphnonumbers"/>
              <w:spacing w:before="60" w:after="60"/>
              <w:rPr>
                <w:rFonts w:eastAsia="Arial" w:cs="Arial"/>
                <w:color w:val="000000" w:themeColor="text1"/>
              </w:rPr>
            </w:pPr>
            <w:r w:rsidRPr="02C42955">
              <w:rPr>
                <w:rFonts w:eastAsia="Arial" w:cs="Arial"/>
                <w:color w:val="000000" w:themeColor="text1"/>
              </w:rPr>
              <w:t>1.1 - Assessment Report – independent assessment report on the clinical and economic evidence and economic model for use by NICE in developing guidance</w:t>
            </w:r>
          </w:p>
        </w:tc>
        <w:tc>
          <w:tcPr>
            <w:tcW w:w="1200" w:type="dxa"/>
            <w:vMerge w:val="restart"/>
            <w:tcBorders>
              <w:bottom w:val="single" w:sz="6" w:space="0" w:color="auto"/>
            </w:tcBorders>
            <w:tcMar>
              <w:left w:w="105" w:type="dxa"/>
              <w:right w:w="105" w:type="dxa"/>
            </w:tcMar>
          </w:tcPr>
          <w:p w14:paraId="11E9EC29" w14:textId="45D49935" w:rsidR="00FD6D24" w:rsidRDefault="00FD6D24" w:rsidP="02C42955">
            <w:pPr>
              <w:pStyle w:val="Paragraphnonumbers"/>
              <w:spacing w:before="60" w:after="60"/>
              <w:rPr>
                <w:rFonts w:eastAsia="Arial" w:cs="Arial"/>
                <w:color w:val="000000" w:themeColor="text1"/>
              </w:rPr>
            </w:pPr>
            <w:r w:rsidRPr="02C42955">
              <w:rPr>
                <w:rFonts w:eastAsia="Arial" w:cs="Arial"/>
                <w:color w:val="000000" w:themeColor="text1"/>
              </w:rPr>
              <w:t>1</w:t>
            </w:r>
          </w:p>
        </w:tc>
        <w:tc>
          <w:tcPr>
            <w:tcW w:w="5115" w:type="dxa"/>
            <w:tcBorders>
              <w:bottom w:val="single" w:sz="6" w:space="0" w:color="auto"/>
            </w:tcBorders>
            <w:tcMar>
              <w:left w:w="105" w:type="dxa"/>
              <w:right w:w="105" w:type="dxa"/>
            </w:tcMar>
          </w:tcPr>
          <w:p w14:paraId="0FB8C4ED" w14:textId="6E06B553" w:rsidR="00FD6D24" w:rsidRDefault="00FD6D24" w:rsidP="1F3C3008">
            <w:pPr>
              <w:spacing w:before="60" w:after="60" w:line="240" w:lineRule="auto"/>
              <w:rPr>
                <w:rFonts w:ascii="Arial" w:eastAsia="Arial" w:hAnsi="Arial" w:cs="Arial"/>
                <w:color w:val="000000" w:themeColor="text1"/>
                <w:sz w:val="24"/>
                <w:szCs w:val="24"/>
              </w:rPr>
            </w:pPr>
            <w:r w:rsidRPr="1F3C3008">
              <w:rPr>
                <w:rFonts w:ascii="Arial" w:eastAsia="Arial" w:hAnsi="Arial" w:cs="Arial"/>
                <w:color w:val="000000" w:themeColor="text1"/>
                <w:sz w:val="24"/>
                <w:szCs w:val="24"/>
              </w:rPr>
              <w:t>1.1.1 - Summary, critical appraisal and assessment report</w:t>
            </w:r>
          </w:p>
        </w:tc>
        <w:tc>
          <w:tcPr>
            <w:tcW w:w="4155" w:type="dxa"/>
            <w:vMerge w:val="restart"/>
            <w:tcMar>
              <w:left w:w="105" w:type="dxa"/>
              <w:right w:w="105" w:type="dxa"/>
            </w:tcMar>
          </w:tcPr>
          <w:p w14:paraId="6CC41ADE" w14:textId="214BE637" w:rsidR="00FD6D24" w:rsidRDefault="00223915" w:rsidP="02C42955">
            <w:pPr>
              <w:pStyle w:val="Paragraphnonumbers"/>
              <w:spacing w:before="60" w:after="60" w:line="240" w:lineRule="auto"/>
              <w:rPr>
                <w:rFonts w:eastAsia="Arial" w:cs="Arial"/>
                <w:color w:val="000000" w:themeColor="text1"/>
              </w:rPr>
            </w:pPr>
            <w:r>
              <w:rPr>
                <w:rFonts w:eastAsia="Arial" w:cs="Arial"/>
                <w:color w:val="000000" w:themeColor="text1"/>
              </w:rPr>
              <w:t>Modules used for standard guidance</w:t>
            </w:r>
          </w:p>
        </w:tc>
      </w:tr>
      <w:tr w:rsidR="00FD6D24" w14:paraId="1C55094D" w14:textId="77777777" w:rsidTr="62482726">
        <w:trPr>
          <w:trHeight w:val="585"/>
        </w:trPr>
        <w:tc>
          <w:tcPr>
            <w:tcW w:w="3435" w:type="dxa"/>
            <w:vMerge/>
            <w:vAlign w:val="center"/>
          </w:tcPr>
          <w:p w14:paraId="269DFF62" w14:textId="77777777" w:rsidR="00FD6D24" w:rsidRDefault="00FD6D24"/>
        </w:tc>
        <w:tc>
          <w:tcPr>
            <w:tcW w:w="1200" w:type="dxa"/>
            <w:vMerge/>
            <w:vAlign w:val="center"/>
          </w:tcPr>
          <w:p w14:paraId="3B1FF561" w14:textId="77777777" w:rsidR="00FD6D24" w:rsidRDefault="00FD6D24"/>
        </w:tc>
        <w:tc>
          <w:tcPr>
            <w:tcW w:w="5115" w:type="dxa"/>
            <w:tcMar>
              <w:left w:w="105" w:type="dxa"/>
              <w:right w:w="105" w:type="dxa"/>
            </w:tcMar>
          </w:tcPr>
          <w:p w14:paraId="136A9AA5" w14:textId="1CAB4095" w:rsidR="00FD6D24" w:rsidRDefault="00FD6D24" w:rsidP="1F3C3008">
            <w:pPr>
              <w:spacing w:before="60" w:after="60" w:line="240" w:lineRule="auto"/>
              <w:rPr>
                <w:rFonts w:ascii="Arial" w:eastAsia="Arial" w:hAnsi="Arial" w:cs="Arial"/>
                <w:color w:val="000000" w:themeColor="text1"/>
                <w:sz w:val="24"/>
                <w:szCs w:val="24"/>
              </w:rPr>
            </w:pPr>
            <w:r w:rsidRPr="1F3C3008">
              <w:rPr>
                <w:rFonts w:ascii="Arial" w:eastAsia="Arial" w:hAnsi="Arial" w:cs="Arial"/>
                <w:color w:val="000000" w:themeColor="text1"/>
                <w:sz w:val="24"/>
                <w:szCs w:val="24"/>
              </w:rPr>
              <w:t xml:space="preserve">1.1.2 - Economic modelling </w:t>
            </w:r>
          </w:p>
        </w:tc>
        <w:tc>
          <w:tcPr>
            <w:tcW w:w="4155" w:type="dxa"/>
            <w:vMerge/>
            <w:tcMar>
              <w:left w:w="105" w:type="dxa"/>
              <w:right w:w="105" w:type="dxa"/>
            </w:tcMar>
          </w:tcPr>
          <w:p w14:paraId="610F7286" w14:textId="2A784026" w:rsidR="00FD6D24" w:rsidRDefault="00FD6D24" w:rsidP="02C42955">
            <w:pPr>
              <w:pStyle w:val="Paragraphnonumbers"/>
              <w:spacing w:before="60" w:after="60" w:line="240" w:lineRule="auto"/>
              <w:rPr>
                <w:rFonts w:eastAsia="Arial" w:cs="Arial"/>
                <w:color w:val="000000" w:themeColor="text1"/>
              </w:rPr>
            </w:pPr>
          </w:p>
        </w:tc>
      </w:tr>
      <w:tr w:rsidR="00FD6D24" w14:paraId="67169470" w14:textId="77777777" w:rsidTr="62482726">
        <w:trPr>
          <w:trHeight w:val="405"/>
        </w:trPr>
        <w:tc>
          <w:tcPr>
            <w:tcW w:w="3435" w:type="dxa"/>
            <w:vMerge/>
            <w:vAlign w:val="center"/>
          </w:tcPr>
          <w:p w14:paraId="7622FEE0" w14:textId="77777777" w:rsidR="00FD6D24" w:rsidRDefault="00FD6D24"/>
        </w:tc>
        <w:tc>
          <w:tcPr>
            <w:tcW w:w="1200" w:type="dxa"/>
            <w:vMerge/>
            <w:vAlign w:val="center"/>
          </w:tcPr>
          <w:p w14:paraId="48A68422" w14:textId="77777777" w:rsidR="00FD6D24" w:rsidRDefault="00FD6D24"/>
        </w:tc>
        <w:tc>
          <w:tcPr>
            <w:tcW w:w="5115" w:type="dxa"/>
            <w:tcBorders>
              <w:bottom w:val="single" w:sz="6" w:space="0" w:color="auto"/>
            </w:tcBorders>
            <w:tcMar>
              <w:left w:w="105" w:type="dxa"/>
              <w:right w:w="105" w:type="dxa"/>
            </w:tcMar>
          </w:tcPr>
          <w:p w14:paraId="1140A7D6" w14:textId="62258533" w:rsidR="00FD6D24" w:rsidRDefault="00FD6D24" w:rsidP="1F3C3008">
            <w:pPr>
              <w:spacing w:before="60" w:after="60" w:line="240" w:lineRule="auto"/>
              <w:rPr>
                <w:rFonts w:ascii="Arial" w:eastAsia="Arial" w:hAnsi="Arial" w:cs="Arial"/>
                <w:color w:val="000000" w:themeColor="text1"/>
                <w:sz w:val="24"/>
                <w:szCs w:val="24"/>
              </w:rPr>
            </w:pPr>
            <w:r w:rsidRPr="2A564969">
              <w:rPr>
                <w:rFonts w:ascii="Arial" w:eastAsia="Arial" w:hAnsi="Arial" w:cs="Arial"/>
                <w:color w:val="000000" w:themeColor="text1"/>
                <w:sz w:val="24"/>
                <w:szCs w:val="24"/>
              </w:rPr>
              <w:t>1.1.3 – Evidence Searching</w:t>
            </w:r>
          </w:p>
        </w:tc>
        <w:tc>
          <w:tcPr>
            <w:tcW w:w="4155" w:type="dxa"/>
            <w:vMerge/>
            <w:tcMar>
              <w:left w:w="105" w:type="dxa"/>
              <w:right w:w="105" w:type="dxa"/>
            </w:tcMar>
          </w:tcPr>
          <w:p w14:paraId="1C99635A" w14:textId="5577C0CE" w:rsidR="00FD6D24" w:rsidRDefault="00FD6D24" w:rsidP="02C42955">
            <w:pPr>
              <w:pStyle w:val="Paragraphnonumbers"/>
              <w:spacing w:before="60" w:after="60" w:line="240" w:lineRule="auto"/>
              <w:rPr>
                <w:rFonts w:eastAsia="Arial" w:cs="Arial"/>
                <w:color w:val="000000" w:themeColor="text1"/>
              </w:rPr>
            </w:pPr>
          </w:p>
        </w:tc>
      </w:tr>
      <w:tr w:rsidR="7DD0602E" w14:paraId="7C6C76D8" w14:textId="77777777" w:rsidTr="62482726">
        <w:trPr>
          <w:trHeight w:val="300"/>
        </w:trPr>
        <w:tc>
          <w:tcPr>
            <w:tcW w:w="3435" w:type="dxa"/>
            <w:tcBorders>
              <w:bottom w:val="nil"/>
            </w:tcBorders>
            <w:tcMar>
              <w:left w:w="105" w:type="dxa"/>
              <w:right w:w="105" w:type="dxa"/>
            </w:tcMar>
          </w:tcPr>
          <w:p w14:paraId="2E2472E4" w14:textId="72208A67" w:rsidR="7DD0602E" w:rsidRDefault="5B204E2A" w:rsidP="1F3C3008">
            <w:pPr>
              <w:spacing w:before="60" w:after="60"/>
            </w:pPr>
            <w:r w:rsidRPr="1F3C3008">
              <w:rPr>
                <w:rFonts w:ascii="Arial" w:eastAsia="Arial" w:hAnsi="Arial" w:cs="Arial"/>
                <w:color w:val="000000" w:themeColor="text1"/>
                <w:sz w:val="24"/>
                <w:szCs w:val="24"/>
              </w:rPr>
              <w:t xml:space="preserve">1.2 Designing and running search strategies, and reporting methods, for the main clinical databases and trials registers. </w:t>
            </w:r>
          </w:p>
        </w:tc>
        <w:tc>
          <w:tcPr>
            <w:tcW w:w="1200" w:type="dxa"/>
            <w:vMerge w:val="restart"/>
            <w:tcMar>
              <w:left w:w="105" w:type="dxa"/>
              <w:right w:w="105" w:type="dxa"/>
            </w:tcMar>
          </w:tcPr>
          <w:p w14:paraId="1B33C832" w14:textId="596C4480"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1</w:t>
            </w:r>
          </w:p>
        </w:tc>
        <w:tc>
          <w:tcPr>
            <w:tcW w:w="5115" w:type="dxa"/>
            <w:vMerge w:val="restart"/>
            <w:tcMar>
              <w:left w:w="105" w:type="dxa"/>
              <w:right w:w="105" w:type="dxa"/>
            </w:tcMar>
          </w:tcPr>
          <w:p w14:paraId="0F64F188" w14:textId="26105C0D" w:rsidR="7DD0602E" w:rsidRDefault="2989F08D" w:rsidP="1F3C3008">
            <w:pPr>
              <w:spacing w:before="60" w:after="60" w:line="240" w:lineRule="auto"/>
              <w:rPr>
                <w:rFonts w:ascii="Arial" w:eastAsia="Arial" w:hAnsi="Arial" w:cs="Arial"/>
                <w:color w:val="000000" w:themeColor="text1"/>
                <w:sz w:val="24"/>
                <w:szCs w:val="24"/>
              </w:rPr>
            </w:pPr>
            <w:r w:rsidRPr="2A564969">
              <w:rPr>
                <w:rFonts w:ascii="Arial" w:eastAsia="Arial" w:hAnsi="Arial" w:cs="Arial"/>
                <w:color w:val="000000" w:themeColor="text1"/>
                <w:sz w:val="24"/>
                <w:szCs w:val="24"/>
              </w:rPr>
              <w:t>1.2.1 -</w:t>
            </w:r>
            <w:r w:rsidR="78F3F6FB" w:rsidRPr="2A564969">
              <w:rPr>
                <w:rFonts w:ascii="Arial" w:eastAsia="Arial" w:hAnsi="Arial" w:cs="Arial"/>
                <w:color w:val="000000" w:themeColor="text1"/>
                <w:sz w:val="24"/>
                <w:szCs w:val="24"/>
              </w:rPr>
              <w:t xml:space="preserve"> User preference assessment</w:t>
            </w:r>
          </w:p>
          <w:p w14:paraId="1636051E" w14:textId="01F5B000" w:rsidR="7DD0602E" w:rsidRDefault="7DD0602E" w:rsidP="02C42955">
            <w:pPr>
              <w:pStyle w:val="Paragraphnonumbers"/>
              <w:spacing w:before="60" w:after="60"/>
              <w:rPr>
                <w:rFonts w:eastAsia="Arial" w:cs="Arial"/>
                <w:color w:val="000000" w:themeColor="text1"/>
              </w:rPr>
            </w:pPr>
          </w:p>
        </w:tc>
        <w:tc>
          <w:tcPr>
            <w:tcW w:w="4155" w:type="dxa"/>
            <w:vMerge w:val="restart"/>
            <w:tcMar>
              <w:left w:w="105" w:type="dxa"/>
              <w:right w:w="105" w:type="dxa"/>
            </w:tcMar>
          </w:tcPr>
          <w:p w14:paraId="7120DC6D" w14:textId="0690161C" w:rsidR="4C0E2C61" w:rsidRDefault="00223915" w:rsidP="003B3C0A">
            <w:pPr>
              <w:spacing w:before="60" w:after="60" w:line="240" w:lineRule="auto"/>
              <w:rPr>
                <w:rFonts w:ascii="Arial" w:eastAsia="Arial" w:hAnsi="Arial" w:cs="Arial"/>
                <w:color w:val="000000" w:themeColor="text1"/>
                <w:sz w:val="24"/>
                <w:szCs w:val="24"/>
                <w:lang w:val="en-US"/>
              </w:rPr>
            </w:pPr>
            <w:r>
              <w:rPr>
                <w:rFonts w:ascii="Arial" w:eastAsia="Arial" w:hAnsi="Arial" w:cs="Arial"/>
                <w:color w:val="000000" w:themeColor="text1"/>
                <w:sz w:val="24"/>
                <w:szCs w:val="24"/>
                <w:lang w:val="en-US"/>
              </w:rPr>
              <w:t xml:space="preserve">Add </w:t>
            </w:r>
            <w:r w:rsidR="00F35361">
              <w:rPr>
                <w:rFonts w:ascii="Arial" w:eastAsia="Arial" w:hAnsi="Arial" w:cs="Arial"/>
                <w:color w:val="000000" w:themeColor="text1"/>
                <w:sz w:val="24"/>
                <w:szCs w:val="24"/>
                <w:lang w:val="en-US"/>
              </w:rPr>
              <w:t>on for guidance topics</w:t>
            </w:r>
          </w:p>
          <w:p w14:paraId="28779997" w14:textId="07A17088" w:rsidR="4C0E2C61" w:rsidRDefault="4C0E2C61" w:rsidP="4C0E2C61">
            <w:pPr>
              <w:pStyle w:val="Paragraphnonumbers"/>
              <w:spacing w:before="60" w:after="60" w:line="240" w:lineRule="auto"/>
              <w:rPr>
                <w:rFonts w:eastAsia="Arial" w:cs="Arial"/>
                <w:color w:val="000000" w:themeColor="text1"/>
              </w:rPr>
            </w:pPr>
          </w:p>
          <w:p w14:paraId="68E9F774" w14:textId="6B9E7960" w:rsidR="7DD0602E" w:rsidRDefault="7DD0602E" w:rsidP="02C42955">
            <w:pPr>
              <w:pStyle w:val="Paragraphnonumbers"/>
              <w:spacing w:before="60" w:after="60" w:line="240" w:lineRule="auto"/>
              <w:rPr>
                <w:rFonts w:eastAsia="Arial" w:cs="Arial"/>
                <w:color w:val="000000" w:themeColor="text1"/>
              </w:rPr>
            </w:pPr>
          </w:p>
        </w:tc>
      </w:tr>
      <w:tr w:rsidR="7DD0602E" w14:paraId="569B0DDF" w14:textId="77777777" w:rsidTr="62482726">
        <w:trPr>
          <w:trHeight w:val="435"/>
        </w:trPr>
        <w:tc>
          <w:tcPr>
            <w:tcW w:w="3435" w:type="dxa"/>
            <w:tcBorders>
              <w:top w:val="nil"/>
            </w:tcBorders>
            <w:tcMar>
              <w:left w:w="105" w:type="dxa"/>
              <w:right w:w="105" w:type="dxa"/>
            </w:tcMar>
          </w:tcPr>
          <w:p w14:paraId="5CAC4479" w14:textId="303EF4BA" w:rsidR="7DD0602E" w:rsidRDefault="7DD0602E" w:rsidP="02C42955">
            <w:pPr>
              <w:spacing w:before="60" w:after="60"/>
              <w:rPr>
                <w:rFonts w:ascii="Arial" w:eastAsia="Arial" w:hAnsi="Arial" w:cs="Arial"/>
                <w:color w:val="000000" w:themeColor="text1"/>
                <w:sz w:val="24"/>
                <w:szCs w:val="24"/>
              </w:rPr>
            </w:pPr>
          </w:p>
        </w:tc>
        <w:tc>
          <w:tcPr>
            <w:tcW w:w="1200" w:type="dxa"/>
            <w:vMerge/>
            <w:vAlign w:val="center"/>
          </w:tcPr>
          <w:p w14:paraId="6E78AD54" w14:textId="77777777" w:rsidR="00A3394F" w:rsidRDefault="00A3394F"/>
        </w:tc>
        <w:tc>
          <w:tcPr>
            <w:tcW w:w="5115" w:type="dxa"/>
            <w:vMerge/>
            <w:vAlign w:val="center"/>
          </w:tcPr>
          <w:p w14:paraId="3643F44E" w14:textId="77777777" w:rsidR="00A3394F" w:rsidRDefault="00A3394F"/>
        </w:tc>
        <w:tc>
          <w:tcPr>
            <w:tcW w:w="4155" w:type="dxa"/>
            <w:vMerge/>
            <w:vAlign w:val="center"/>
          </w:tcPr>
          <w:p w14:paraId="457386DD" w14:textId="77777777" w:rsidR="00A3394F" w:rsidRDefault="00A3394F"/>
        </w:tc>
      </w:tr>
      <w:tr w:rsidR="7DD0602E" w14:paraId="50B7BADD" w14:textId="77777777" w:rsidTr="62482726">
        <w:trPr>
          <w:trHeight w:val="300"/>
        </w:trPr>
        <w:tc>
          <w:tcPr>
            <w:tcW w:w="3435" w:type="dxa"/>
            <w:tcMar>
              <w:left w:w="105" w:type="dxa"/>
              <w:right w:w="105" w:type="dxa"/>
            </w:tcMar>
          </w:tcPr>
          <w:p w14:paraId="5E3EAD47" w14:textId="6E1BDE57" w:rsidR="7DD0602E" w:rsidRDefault="0599EA5A" w:rsidP="1F3C3008">
            <w:pPr>
              <w:spacing w:before="60" w:after="60"/>
            </w:pPr>
            <w:r w:rsidRPr="1F3C3008">
              <w:rPr>
                <w:rFonts w:ascii="Arial" w:eastAsia="Arial" w:hAnsi="Arial" w:cs="Arial"/>
                <w:color w:val="000000" w:themeColor="text1"/>
                <w:sz w:val="24"/>
                <w:szCs w:val="24"/>
              </w:rPr>
              <w:t>1.3 Accessing and analysing real-world data during guidance development</w:t>
            </w:r>
          </w:p>
        </w:tc>
        <w:tc>
          <w:tcPr>
            <w:tcW w:w="1200" w:type="dxa"/>
            <w:tcBorders>
              <w:top w:val="nil"/>
            </w:tcBorders>
            <w:tcMar>
              <w:left w:w="105" w:type="dxa"/>
              <w:right w:w="105" w:type="dxa"/>
            </w:tcMar>
          </w:tcPr>
          <w:p w14:paraId="4A786D7C" w14:textId="39C722B8" w:rsidR="7A69F637" w:rsidRDefault="68B94465" w:rsidP="02C42955">
            <w:pPr>
              <w:pStyle w:val="Paragraphnonumbers"/>
              <w:spacing w:before="60" w:after="60"/>
              <w:rPr>
                <w:rFonts w:eastAsia="Arial" w:cs="Arial"/>
                <w:color w:val="000000" w:themeColor="text1"/>
              </w:rPr>
            </w:pPr>
            <w:r w:rsidRPr="02C42955">
              <w:rPr>
                <w:rFonts w:eastAsia="Arial" w:cs="Arial"/>
                <w:color w:val="000000" w:themeColor="text1"/>
              </w:rPr>
              <w:t>1</w:t>
            </w:r>
          </w:p>
        </w:tc>
        <w:tc>
          <w:tcPr>
            <w:tcW w:w="5115" w:type="dxa"/>
            <w:tcMar>
              <w:left w:w="105" w:type="dxa"/>
              <w:right w:w="105" w:type="dxa"/>
            </w:tcMar>
          </w:tcPr>
          <w:p w14:paraId="751B13D1" w14:textId="132FAEB7" w:rsidR="7DD0602E" w:rsidRDefault="12EBFCFB" w:rsidP="02C42955">
            <w:pPr>
              <w:pStyle w:val="Paragraphnonumbers"/>
              <w:spacing w:before="60" w:after="60" w:line="240" w:lineRule="auto"/>
              <w:rPr>
                <w:rFonts w:eastAsia="Arial" w:cs="Arial"/>
                <w:color w:val="000000" w:themeColor="text1"/>
              </w:rPr>
            </w:pPr>
            <w:r w:rsidRPr="1F3C3008">
              <w:rPr>
                <w:rFonts w:eastAsia="Arial" w:cs="Arial"/>
                <w:color w:val="000000" w:themeColor="text1"/>
              </w:rPr>
              <w:t xml:space="preserve">1.3.1 Primary data analysis and reporting  </w:t>
            </w:r>
          </w:p>
        </w:tc>
        <w:tc>
          <w:tcPr>
            <w:tcW w:w="4155" w:type="dxa"/>
            <w:tcMar>
              <w:left w:w="105" w:type="dxa"/>
              <w:right w:w="105" w:type="dxa"/>
            </w:tcMar>
          </w:tcPr>
          <w:p w14:paraId="3A69E209" w14:textId="508727EA" w:rsidR="417E311A" w:rsidRDefault="39FECF05" w:rsidP="4C0E2C61">
            <w:pPr>
              <w:pStyle w:val="Paragraphnonumbers"/>
              <w:spacing w:before="60" w:after="60" w:line="240" w:lineRule="auto"/>
              <w:rPr>
                <w:rFonts w:eastAsia="Arial" w:cs="Arial"/>
                <w:color w:val="000000" w:themeColor="text1"/>
              </w:rPr>
            </w:pPr>
            <w:r w:rsidRPr="3BF7A29E">
              <w:rPr>
                <w:rFonts w:eastAsia="Arial" w:cs="Arial"/>
                <w:color w:val="000000" w:themeColor="text1"/>
              </w:rPr>
              <w:t>As an add on for some guidance topics</w:t>
            </w:r>
          </w:p>
          <w:p w14:paraId="4B0F22A3" w14:textId="494CA51C" w:rsidR="4C0E2C61" w:rsidRDefault="4C0E2C61" w:rsidP="003B3C0A">
            <w:pPr>
              <w:spacing w:before="60" w:after="60" w:line="240" w:lineRule="auto"/>
              <w:rPr>
                <w:rFonts w:ascii="Arial" w:eastAsia="Arial" w:hAnsi="Arial" w:cs="Arial"/>
                <w:color w:val="000000" w:themeColor="text1"/>
                <w:sz w:val="24"/>
                <w:szCs w:val="24"/>
                <w:lang w:val="en-US"/>
              </w:rPr>
            </w:pPr>
          </w:p>
          <w:p w14:paraId="0726BFD5" w14:textId="76CD775A" w:rsidR="4C0E2C61" w:rsidRDefault="4C0E2C61" w:rsidP="4C0E2C61">
            <w:pPr>
              <w:pStyle w:val="Paragraphnonumbers"/>
              <w:spacing w:before="60" w:after="60" w:line="240" w:lineRule="auto"/>
              <w:rPr>
                <w:rFonts w:eastAsia="Arial" w:cs="Arial"/>
                <w:color w:val="000000" w:themeColor="text1"/>
              </w:rPr>
            </w:pPr>
          </w:p>
          <w:p w14:paraId="71BE3D05" w14:textId="0F8679EF" w:rsidR="7DD0602E" w:rsidRDefault="7DD0602E" w:rsidP="02C42955">
            <w:pPr>
              <w:pStyle w:val="Paragraphnonumbers"/>
              <w:spacing w:before="60" w:after="60" w:line="240" w:lineRule="auto"/>
              <w:rPr>
                <w:rFonts w:eastAsia="Arial" w:cs="Arial"/>
                <w:color w:val="000000" w:themeColor="text1"/>
              </w:rPr>
            </w:pPr>
          </w:p>
        </w:tc>
      </w:tr>
      <w:tr w:rsidR="1F3C3008" w14:paraId="12F48FD3" w14:textId="77777777" w:rsidTr="62482726">
        <w:trPr>
          <w:trHeight w:val="300"/>
        </w:trPr>
        <w:tc>
          <w:tcPr>
            <w:tcW w:w="3435" w:type="dxa"/>
            <w:tcMar>
              <w:left w:w="105" w:type="dxa"/>
              <w:right w:w="105" w:type="dxa"/>
            </w:tcMar>
          </w:tcPr>
          <w:p w14:paraId="64A80542" w14:textId="254EF78A" w:rsidR="1F3C3008" w:rsidRDefault="1F3C3008" w:rsidP="1F3C3008">
            <w:pPr>
              <w:spacing w:before="60" w:after="60"/>
              <w:rPr>
                <w:rFonts w:ascii="Arial" w:eastAsia="Arial" w:hAnsi="Arial" w:cs="Arial"/>
                <w:color w:val="000000" w:themeColor="text1"/>
                <w:sz w:val="24"/>
                <w:szCs w:val="24"/>
              </w:rPr>
            </w:pPr>
            <w:r w:rsidRPr="1F3C3008">
              <w:rPr>
                <w:rFonts w:ascii="Arial" w:eastAsia="Arial" w:hAnsi="Arial" w:cs="Arial"/>
                <w:color w:val="000000" w:themeColor="text1"/>
                <w:sz w:val="24"/>
                <w:szCs w:val="24"/>
              </w:rPr>
              <w:t>1.4 - Meta-analysis</w:t>
            </w:r>
          </w:p>
        </w:tc>
        <w:tc>
          <w:tcPr>
            <w:tcW w:w="1200" w:type="dxa"/>
            <w:tcBorders>
              <w:top w:val="nil"/>
            </w:tcBorders>
            <w:tcMar>
              <w:left w:w="105" w:type="dxa"/>
              <w:right w:w="105" w:type="dxa"/>
            </w:tcMar>
          </w:tcPr>
          <w:p w14:paraId="7A1AFBCC" w14:textId="3802CC47" w:rsidR="6B9BC667" w:rsidRDefault="6B9BC667" w:rsidP="1F3C3008">
            <w:pPr>
              <w:spacing w:before="60" w:after="60"/>
              <w:rPr>
                <w:rFonts w:ascii="Arial" w:eastAsia="Arial" w:hAnsi="Arial" w:cs="Arial"/>
                <w:color w:val="000000" w:themeColor="text1"/>
                <w:sz w:val="24"/>
                <w:szCs w:val="24"/>
              </w:rPr>
            </w:pPr>
            <w:r w:rsidRPr="1F3C3008">
              <w:rPr>
                <w:rFonts w:ascii="Arial" w:eastAsia="Arial" w:hAnsi="Arial" w:cs="Arial"/>
                <w:color w:val="000000" w:themeColor="text1"/>
                <w:sz w:val="24"/>
                <w:szCs w:val="24"/>
              </w:rPr>
              <w:t>1</w:t>
            </w:r>
          </w:p>
        </w:tc>
        <w:tc>
          <w:tcPr>
            <w:tcW w:w="5115" w:type="dxa"/>
            <w:tcMar>
              <w:left w:w="105" w:type="dxa"/>
              <w:right w:w="105" w:type="dxa"/>
            </w:tcMar>
          </w:tcPr>
          <w:p w14:paraId="71581CC4" w14:textId="59B4715B" w:rsidR="1F3C3008" w:rsidRDefault="6B9BC667" w:rsidP="6789AB4A">
            <w:pPr>
              <w:spacing w:before="60" w:after="60" w:line="240" w:lineRule="auto"/>
              <w:rPr>
                <w:rFonts w:ascii="Arial" w:eastAsia="Arial" w:hAnsi="Arial" w:cs="Arial"/>
                <w:color w:val="000000" w:themeColor="text1"/>
                <w:sz w:val="24"/>
                <w:szCs w:val="24"/>
              </w:rPr>
            </w:pPr>
            <w:r w:rsidRPr="1F3C3008">
              <w:rPr>
                <w:rFonts w:ascii="Arial" w:eastAsia="Arial" w:hAnsi="Arial" w:cs="Arial"/>
                <w:color w:val="000000" w:themeColor="text1"/>
                <w:sz w:val="24"/>
                <w:szCs w:val="24"/>
              </w:rPr>
              <w:t>1.4.1 - Meta-analysis</w:t>
            </w:r>
          </w:p>
        </w:tc>
        <w:tc>
          <w:tcPr>
            <w:tcW w:w="4155" w:type="dxa"/>
            <w:tcMar>
              <w:left w:w="105" w:type="dxa"/>
              <w:right w:w="105" w:type="dxa"/>
            </w:tcMar>
          </w:tcPr>
          <w:p w14:paraId="1D64C3EA" w14:textId="31D7A7DC" w:rsidR="4C0E2C61" w:rsidRDefault="70028996" w:rsidP="6789AB4A">
            <w:pPr>
              <w:pStyle w:val="Paragraphnonumbers"/>
              <w:spacing w:before="60" w:after="60" w:line="240" w:lineRule="auto"/>
              <w:rPr>
                <w:rFonts w:eastAsia="Arial" w:cs="Arial"/>
                <w:color w:val="000000" w:themeColor="text1"/>
                <w:lang w:val="en-US"/>
              </w:rPr>
            </w:pPr>
            <w:r w:rsidRPr="3BF7A29E">
              <w:rPr>
                <w:rFonts w:eastAsia="Arial" w:cs="Arial"/>
                <w:color w:val="000000" w:themeColor="text1"/>
              </w:rPr>
              <w:t>As an add on for some guidance topics</w:t>
            </w:r>
          </w:p>
          <w:p w14:paraId="2A1E68EA" w14:textId="3F894CDB" w:rsidR="1F3C3008" w:rsidRDefault="1F3C3008" w:rsidP="6789AB4A">
            <w:pPr>
              <w:pStyle w:val="Paragraphnonumbers"/>
              <w:spacing w:before="60" w:after="60" w:line="240" w:lineRule="auto"/>
              <w:rPr>
                <w:rFonts w:eastAsia="Arial" w:cs="Arial"/>
                <w:color w:val="000000" w:themeColor="text1"/>
              </w:rPr>
            </w:pPr>
          </w:p>
        </w:tc>
      </w:tr>
      <w:tr w:rsidR="1F3C3008" w14:paraId="013F99DE" w14:textId="77777777" w:rsidTr="62482726">
        <w:trPr>
          <w:trHeight w:val="300"/>
        </w:trPr>
        <w:tc>
          <w:tcPr>
            <w:tcW w:w="3435" w:type="dxa"/>
            <w:tcMar>
              <w:left w:w="105" w:type="dxa"/>
              <w:right w:w="105" w:type="dxa"/>
            </w:tcMar>
          </w:tcPr>
          <w:p w14:paraId="73B6185C" w14:textId="3D556A06" w:rsidR="6B9BC667" w:rsidRDefault="6B9BC667" w:rsidP="1F3C3008">
            <w:pPr>
              <w:spacing w:before="60" w:after="60"/>
            </w:pPr>
            <w:r w:rsidRPr="1F3C3008">
              <w:rPr>
                <w:rFonts w:ascii="Arial" w:eastAsia="Arial" w:hAnsi="Arial" w:cs="Arial"/>
                <w:color w:val="000000" w:themeColor="text1"/>
                <w:sz w:val="24"/>
                <w:szCs w:val="24"/>
              </w:rPr>
              <w:lastRenderedPageBreak/>
              <w:t>1.5 Technical assessment – Includes report summarising and reviewing technical documents and technical evidence</w:t>
            </w:r>
          </w:p>
        </w:tc>
        <w:tc>
          <w:tcPr>
            <w:tcW w:w="1200" w:type="dxa"/>
            <w:tcBorders>
              <w:top w:val="nil"/>
            </w:tcBorders>
            <w:tcMar>
              <w:left w:w="105" w:type="dxa"/>
              <w:right w:w="105" w:type="dxa"/>
            </w:tcMar>
          </w:tcPr>
          <w:p w14:paraId="7A5761EB" w14:textId="42B3518F" w:rsidR="6B9BC667" w:rsidRDefault="6B9BC667" w:rsidP="1F3C3008">
            <w:pPr>
              <w:pStyle w:val="Paragraphnonumbers"/>
              <w:rPr>
                <w:rFonts w:eastAsia="Arial" w:cs="Arial"/>
                <w:color w:val="000000" w:themeColor="text1"/>
              </w:rPr>
            </w:pPr>
            <w:r w:rsidRPr="1F3C3008">
              <w:rPr>
                <w:rFonts w:eastAsia="Arial" w:cs="Arial"/>
                <w:color w:val="000000" w:themeColor="text1"/>
              </w:rPr>
              <w:t>1</w:t>
            </w:r>
          </w:p>
        </w:tc>
        <w:tc>
          <w:tcPr>
            <w:tcW w:w="5115" w:type="dxa"/>
            <w:tcMar>
              <w:left w:w="105" w:type="dxa"/>
              <w:right w:w="105" w:type="dxa"/>
            </w:tcMar>
          </w:tcPr>
          <w:p w14:paraId="3B7C2F76" w14:textId="52F3712B" w:rsidR="6B9BC667" w:rsidRDefault="6B9BC667" w:rsidP="1F3C3008">
            <w:pPr>
              <w:pStyle w:val="Paragraphnonumbers"/>
              <w:spacing w:line="240" w:lineRule="auto"/>
              <w:rPr>
                <w:rFonts w:eastAsia="Arial" w:cs="Arial"/>
                <w:color w:val="000000" w:themeColor="text1"/>
              </w:rPr>
            </w:pPr>
            <w:r w:rsidRPr="1F3C3008">
              <w:rPr>
                <w:rFonts w:eastAsia="Arial" w:cs="Arial"/>
                <w:color w:val="000000" w:themeColor="text1"/>
              </w:rPr>
              <w:t xml:space="preserve">1.5.1 Technical document review and reporting  </w:t>
            </w:r>
          </w:p>
        </w:tc>
        <w:tc>
          <w:tcPr>
            <w:tcW w:w="4155" w:type="dxa"/>
            <w:tcMar>
              <w:left w:w="105" w:type="dxa"/>
              <w:right w:w="105" w:type="dxa"/>
            </w:tcMar>
          </w:tcPr>
          <w:p w14:paraId="07915350" w14:textId="227902C2" w:rsidR="1F3C3008" w:rsidRDefault="6DFCE63C" w:rsidP="003B3C0A">
            <w:pPr>
              <w:pStyle w:val="Paragraphnonumbers"/>
              <w:spacing w:before="60" w:after="60" w:line="240" w:lineRule="auto"/>
            </w:pPr>
            <w:r w:rsidRPr="3BF7A29E">
              <w:rPr>
                <w:rFonts w:eastAsia="Arial" w:cs="Arial"/>
                <w:color w:val="000000" w:themeColor="text1"/>
              </w:rPr>
              <w:t>As an add on for some guidance topics or as a standalone report.</w:t>
            </w:r>
          </w:p>
          <w:p w14:paraId="5EA59589" w14:textId="7B52E73A" w:rsidR="1F3C3008" w:rsidRDefault="1F3C3008" w:rsidP="4C0E2C61">
            <w:pPr>
              <w:pStyle w:val="Paragraphnonumbers"/>
              <w:spacing w:before="60" w:after="60" w:line="240" w:lineRule="auto"/>
              <w:rPr>
                <w:rFonts w:eastAsia="Arial" w:cs="Arial"/>
                <w:color w:val="000000" w:themeColor="text1"/>
              </w:rPr>
            </w:pPr>
          </w:p>
          <w:p w14:paraId="7597F96A" w14:textId="294729F8" w:rsidR="1F3C3008" w:rsidRDefault="1F3C3008" w:rsidP="003B3C0A">
            <w:pPr>
              <w:spacing w:before="60" w:after="60" w:line="240" w:lineRule="auto"/>
              <w:rPr>
                <w:rFonts w:ascii="Arial" w:eastAsia="Arial" w:hAnsi="Arial" w:cs="Arial"/>
                <w:color w:val="000000" w:themeColor="text1"/>
                <w:sz w:val="24"/>
                <w:szCs w:val="24"/>
                <w:lang w:val="en-US"/>
              </w:rPr>
            </w:pPr>
          </w:p>
          <w:p w14:paraId="06187FB4" w14:textId="5639D7A6" w:rsidR="1F3C3008" w:rsidRDefault="1F3C3008" w:rsidP="1F3C3008">
            <w:pPr>
              <w:pStyle w:val="Paragraphnonumbers"/>
              <w:spacing w:line="240" w:lineRule="auto"/>
              <w:rPr>
                <w:rFonts w:eastAsia="Arial" w:cs="Arial"/>
                <w:color w:val="000000" w:themeColor="text1"/>
              </w:rPr>
            </w:pPr>
          </w:p>
        </w:tc>
      </w:tr>
      <w:tr w:rsidR="1F3C3008" w14:paraId="32F95885" w14:textId="77777777" w:rsidTr="62482726">
        <w:trPr>
          <w:trHeight w:val="300"/>
        </w:trPr>
        <w:tc>
          <w:tcPr>
            <w:tcW w:w="3435" w:type="dxa"/>
            <w:tcMar>
              <w:left w:w="105" w:type="dxa"/>
              <w:right w:w="105" w:type="dxa"/>
            </w:tcMar>
          </w:tcPr>
          <w:p w14:paraId="7530EE24" w14:textId="611E884D" w:rsidR="44983F2B" w:rsidRDefault="44983F2B" w:rsidP="1F3C3008">
            <w:pPr>
              <w:spacing w:before="60" w:after="60"/>
            </w:pPr>
            <w:r w:rsidRPr="1F3C3008">
              <w:rPr>
                <w:rFonts w:ascii="Arial" w:eastAsia="Arial" w:hAnsi="Arial" w:cs="Arial"/>
                <w:color w:val="000000" w:themeColor="text1"/>
                <w:sz w:val="24"/>
                <w:szCs w:val="24"/>
              </w:rPr>
              <w:t xml:space="preserve">1.6 - Regulatory advice service on CE marking </w:t>
            </w:r>
            <w:r w:rsidRPr="1F3C3008">
              <w:rPr>
                <w:rFonts w:ascii="Arial" w:eastAsia="Arial" w:hAnsi="Arial" w:cs="Arial"/>
                <w:sz w:val="24"/>
                <w:szCs w:val="24"/>
              </w:rPr>
              <w:t xml:space="preserve"> </w:t>
            </w:r>
          </w:p>
        </w:tc>
        <w:tc>
          <w:tcPr>
            <w:tcW w:w="1200" w:type="dxa"/>
            <w:tcBorders>
              <w:top w:val="nil"/>
            </w:tcBorders>
            <w:tcMar>
              <w:left w:w="105" w:type="dxa"/>
              <w:right w:w="105" w:type="dxa"/>
            </w:tcMar>
          </w:tcPr>
          <w:p w14:paraId="65E770EC" w14:textId="44CEE7FF" w:rsidR="1F3C3008" w:rsidRDefault="1F3C3008" w:rsidP="1F3C3008">
            <w:pPr>
              <w:pStyle w:val="Paragraphnonumbers"/>
              <w:rPr>
                <w:rFonts w:eastAsia="Arial" w:cs="Arial"/>
                <w:color w:val="000000" w:themeColor="text1"/>
              </w:rPr>
            </w:pPr>
          </w:p>
        </w:tc>
        <w:tc>
          <w:tcPr>
            <w:tcW w:w="5115" w:type="dxa"/>
            <w:tcMar>
              <w:left w:w="105" w:type="dxa"/>
              <w:right w:w="105" w:type="dxa"/>
            </w:tcMar>
          </w:tcPr>
          <w:p w14:paraId="0C1565B7" w14:textId="69F8594A" w:rsidR="44983F2B" w:rsidRDefault="44983F2B" w:rsidP="1F3C3008">
            <w:pPr>
              <w:spacing w:before="60" w:after="60"/>
            </w:pPr>
            <w:r w:rsidRPr="1F3C3008">
              <w:rPr>
                <w:rFonts w:ascii="Arial" w:eastAsia="Arial" w:hAnsi="Arial" w:cs="Arial"/>
                <w:color w:val="000000" w:themeColor="text1"/>
                <w:sz w:val="24"/>
                <w:szCs w:val="24"/>
              </w:rPr>
              <w:t>1.6.1 – Regulatory analysis</w:t>
            </w:r>
          </w:p>
        </w:tc>
        <w:tc>
          <w:tcPr>
            <w:tcW w:w="4155" w:type="dxa"/>
            <w:tcMar>
              <w:left w:w="105" w:type="dxa"/>
              <w:right w:w="105" w:type="dxa"/>
            </w:tcMar>
          </w:tcPr>
          <w:p w14:paraId="071783D2" w14:textId="617A5364" w:rsidR="07344E82" w:rsidRDefault="3C8A1734" w:rsidP="4C0E2C61">
            <w:pPr>
              <w:pStyle w:val="Paragraphnonumbers"/>
              <w:spacing w:before="60" w:after="60" w:line="240" w:lineRule="auto"/>
              <w:rPr>
                <w:rFonts w:eastAsia="Arial" w:cs="Arial"/>
                <w:color w:val="000000" w:themeColor="text1"/>
              </w:rPr>
            </w:pPr>
            <w:r w:rsidRPr="3BF7A29E">
              <w:rPr>
                <w:rFonts w:eastAsia="Arial" w:cs="Arial"/>
                <w:color w:val="000000" w:themeColor="text1"/>
              </w:rPr>
              <w:t>As an add on for some guidance topics</w:t>
            </w:r>
          </w:p>
          <w:p w14:paraId="39151499" w14:textId="071E296D" w:rsidR="07344E82" w:rsidRDefault="07344E82" w:rsidP="003B3C0A">
            <w:pPr>
              <w:spacing w:before="60" w:after="60" w:line="240" w:lineRule="auto"/>
              <w:rPr>
                <w:rFonts w:ascii="Arial" w:eastAsia="Arial" w:hAnsi="Arial" w:cs="Arial"/>
                <w:color w:val="000000" w:themeColor="text1"/>
                <w:sz w:val="24"/>
                <w:szCs w:val="24"/>
                <w:lang w:val="en-US"/>
              </w:rPr>
            </w:pPr>
          </w:p>
          <w:p w14:paraId="5596DC6B" w14:textId="4D2069BB" w:rsidR="07344E82" w:rsidRDefault="07344E82" w:rsidP="1F3C3008">
            <w:pPr>
              <w:pStyle w:val="Paragraphnonumbers"/>
              <w:spacing w:before="60" w:after="60" w:line="240" w:lineRule="auto"/>
              <w:rPr>
                <w:rFonts w:eastAsia="Arial" w:cs="Arial"/>
                <w:color w:val="000000" w:themeColor="text1"/>
              </w:rPr>
            </w:pPr>
          </w:p>
        </w:tc>
      </w:tr>
      <w:tr w:rsidR="7DD0602E" w14:paraId="60A656CD" w14:textId="77777777" w:rsidTr="62482726">
        <w:trPr>
          <w:trHeight w:val="840"/>
        </w:trPr>
        <w:tc>
          <w:tcPr>
            <w:tcW w:w="13905" w:type="dxa"/>
            <w:gridSpan w:val="4"/>
            <w:tcMar>
              <w:left w:w="105" w:type="dxa"/>
              <w:right w:w="105" w:type="dxa"/>
            </w:tcMar>
          </w:tcPr>
          <w:p w14:paraId="6E5C81E9" w14:textId="196EFE37" w:rsidR="7DD0602E" w:rsidRDefault="7DD0602E" w:rsidP="02C42955">
            <w:pPr>
              <w:spacing w:before="60" w:after="60" w:line="240" w:lineRule="auto"/>
              <w:rPr>
                <w:rFonts w:ascii="Arial" w:eastAsia="Arial" w:hAnsi="Arial" w:cs="Arial"/>
                <w:color w:val="000000" w:themeColor="text1"/>
                <w:sz w:val="24"/>
                <w:szCs w:val="24"/>
              </w:rPr>
            </w:pPr>
          </w:p>
        </w:tc>
      </w:tr>
      <w:tr w:rsidR="7DD0602E" w14:paraId="512598C2" w14:textId="77777777" w:rsidTr="62482726">
        <w:trPr>
          <w:trHeight w:val="300"/>
        </w:trPr>
        <w:tc>
          <w:tcPr>
            <w:tcW w:w="13905" w:type="dxa"/>
            <w:gridSpan w:val="4"/>
            <w:tcMar>
              <w:left w:w="105" w:type="dxa"/>
              <w:right w:w="105" w:type="dxa"/>
            </w:tcMar>
          </w:tcPr>
          <w:p w14:paraId="1103098B" w14:textId="7FC09440" w:rsidR="7DD0602E" w:rsidRDefault="7B57DE3D" w:rsidP="02C42955">
            <w:pPr>
              <w:pStyle w:val="Paragraphnonumbers"/>
              <w:spacing w:before="60" w:after="60"/>
              <w:rPr>
                <w:rFonts w:eastAsia="Arial" w:cs="Arial"/>
                <w:color w:val="000000" w:themeColor="text1"/>
              </w:rPr>
            </w:pPr>
            <w:r w:rsidRPr="02C42955">
              <w:rPr>
                <w:rFonts w:eastAsia="Arial" w:cs="Arial"/>
                <w:b/>
                <w:bCs/>
                <w:color w:val="000000" w:themeColor="text1"/>
              </w:rPr>
              <w:t>Lot 2 – Technical and decision support</w:t>
            </w:r>
          </w:p>
        </w:tc>
      </w:tr>
      <w:tr w:rsidR="7DD0602E" w14:paraId="0CC57D7B" w14:textId="77777777" w:rsidTr="62482726">
        <w:trPr>
          <w:trHeight w:val="1530"/>
        </w:trPr>
        <w:tc>
          <w:tcPr>
            <w:tcW w:w="3435" w:type="dxa"/>
            <w:vMerge w:val="restart"/>
            <w:tcMar>
              <w:left w:w="105" w:type="dxa"/>
              <w:right w:w="105" w:type="dxa"/>
            </w:tcMar>
          </w:tcPr>
          <w:p w14:paraId="4BA68FFB" w14:textId="7A9D9A7B" w:rsidR="7DD0602E" w:rsidRDefault="54F21266" w:rsidP="02C42955">
            <w:pPr>
              <w:pStyle w:val="Paragraphnonumbers"/>
              <w:spacing w:before="60" w:after="60"/>
              <w:rPr>
                <w:rFonts w:eastAsia="Arial" w:cs="Arial"/>
                <w:color w:val="000000" w:themeColor="text1"/>
              </w:rPr>
            </w:pPr>
            <w:r w:rsidRPr="02C42955">
              <w:rPr>
                <w:rFonts w:eastAsia="Arial" w:cs="Arial"/>
                <w:color w:val="000000" w:themeColor="text1"/>
              </w:rPr>
              <w:t>2.1</w:t>
            </w:r>
            <w:r w:rsidR="7B57DE3D" w:rsidRPr="02C42955">
              <w:rPr>
                <w:rFonts w:eastAsia="Arial" w:cs="Arial"/>
                <w:color w:val="000000" w:themeColor="text1"/>
              </w:rPr>
              <w:t>. Methodological and analytical advice</w:t>
            </w:r>
          </w:p>
          <w:p w14:paraId="26280CB2" w14:textId="200E032B" w:rsidR="7DD0602E" w:rsidRDefault="7DD0602E" w:rsidP="02C42955">
            <w:pPr>
              <w:spacing w:before="60" w:after="60"/>
              <w:rPr>
                <w:rFonts w:ascii="Arial" w:eastAsia="Arial" w:hAnsi="Arial" w:cs="Arial"/>
                <w:color w:val="000000" w:themeColor="text1"/>
                <w:sz w:val="24"/>
                <w:szCs w:val="24"/>
              </w:rPr>
            </w:pPr>
          </w:p>
        </w:tc>
        <w:tc>
          <w:tcPr>
            <w:tcW w:w="1200" w:type="dxa"/>
            <w:vMerge w:val="restart"/>
            <w:tcMar>
              <w:left w:w="105" w:type="dxa"/>
              <w:right w:w="105" w:type="dxa"/>
            </w:tcMar>
          </w:tcPr>
          <w:p w14:paraId="7CA4909C" w14:textId="4BFD78FE"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p w14:paraId="1FF57619" w14:textId="49A9347E" w:rsidR="7DD0602E" w:rsidRDefault="7DD0602E" w:rsidP="02C42955">
            <w:pPr>
              <w:spacing w:before="60" w:after="60"/>
              <w:rPr>
                <w:rFonts w:ascii="Arial" w:eastAsia="Arial" w:hAnsi="Arial" w:cs="Arial"/>
                <w:color w:val="000000" w:themeColor="text1"/>
                <w:sz w:val="24"/>
                <w:szCs w:val="24"/>
              </w:rPr>
            </w:pPr>
          </w:p>
        </w:tc>
        <w:tc>
          <w:tcPr>
            <w:tcW w:w="5115" w:type="dxa"/>
            <w:tcMar>
              <w:left w:w="105" w:type="dxa"/>
              <w:right w:w="105" w:type="dxa"/>
            </w:tcMar>
          </w:tcPr>
          <w:p w14:paraId="46537C54" w14:textId="281F3F33" w:rsidR="7DD0602E" w:rsidRDefault="54F21266" w:rsidP="02C42955">
            <w:pPr>
              <w:pStyle w:val="Paragraphnonumbers"/>
              <w:spacing w:before="60" w:after="60"/>
              <w:rPr>
                <w:rFonts w:eastAsia="Arial" w:cs="Arial"/>
                <w:color w:val="000000" w:themeColor="text1"/>
              </w:rPr>
            </w:pPr>
            <w:r w:rsidRPr="02C42955">
              <w:rPr>
                <w:rFonts w:eastAsia="Arial" w:cs="Arial"/>
                <w:color w:val="000000" w:themeColor="text1"/>
              </w:rPr>
              <w:t>2.1.1</w:t>
            </w:r>
            <w:r w:rsidR="7B57DE3D" w:rsidRPr="02C42955">
              <w:rPr>
                <w:rFonts w:eastAsia="Arial" w:cs="Arial"/>
                <w:color w:val="000000" w:themeColor="text1"/>
              </w:rPr>
              <w:t xml:space="preserve"> Methodological and analytical advice</w:t>
            </w:r>
          </w:p>
        </w:tc>
        <w:tc>
          <w:tcPr>
            <w:tcW w:w="4155" w:type="dxa"/>
            <w:vMerge w:val="restart"/>
            <w:tcMar>
              <w:left w:w="105" w:type="dxa"/>
              <w:right w:w="105" w:type="dxa"/>
            </w:tcMar>
          </w:tcPr>
          <w:p w14:paraId="67120E64" w14:textId="0EA37BAE" w:rsidR="7DD0602E" w:rsidRDefault="6BC032BB" w:rsidP="2EC56682">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w:t>
            </w:r>
            <w:r w:rsidR="32AA2B3B" w:rsidRPr="02C42955">
              <w:rPr>
                <w:rFonts w:ascii="Arial" w:eastAsia="Arial" w:hAnsi="Arial" w:cs="Arial"/>
                <w:color w:val="000000" w:themeColor="text1"/>
                <w:sz w:val="24"/>
                <w:szCs w:val="24"/>
              </w:rPr>
              <w:t>o support development and update of NICE guidance and the development of NICE’s methods and processes.</w:t>
            </w:r>
          </w:p>
        </w:tc>
      </w:tr>
      <w:tr w:rsidR="7DD0602E" w14:paraId="68C3516A" w14:textId="77777777" w:rsidTr="62482726">
        <w:trPr>
          <w:trHeight w:val="300"/>
        </w:trPr>
        <w:tc>
          <w:tcPr>
            <w:tcW w:w="3435" w:type="dxa"/>
            <w:vMerge/>
            <w:vAlign w:val="center"/>
          </w:tcPr>
          <w:p w14:paraId="7BD6BFBD" w14:textId="77777777" w:rsidR="00A3394F" w:rsidRDefault="00A3394F"/>
        </w:tc>
        <w:tc>
          <w:tcPr>
            <w:tcW w:w="1200" w:type="dxa"/>
            <w:vMerge/>
            <w:vAlign w:val="center"/>
          </w:tcPr>
          <w:p w14:paraId="59CE6E76" w14:textId="77777777" w:rsidR="00A3394F" w:rsidRDefault="00A3394F"/>
        </w:tc>
        <w:tc>
          <w:tcPr>
            <w:tcW w:w="5115" w:type="dxa"/>
            <w:tcMar>
              <w:left w:w="105" w:type="dxa"/>
              <w:right w:w="105" w:type="dxa"/>
            </w:tcMar>
          </w:tcPr>
          <w:p w14:paraId="3306911F" w14:textId="13402510" w:rsidR="7DD0602E" w:rsidRDefault="54F21266" w:rsidP="02C42955">
            <w:pPr>
              <w:pStyle w:val="Paragraphnonumbers"/>
              <w:spacing w:before="60" w:after="60"/>
              <w:rPr>
                <w:rFonts w:eastAsia="Arial" w:cs="Arial"/>
                <w:color w:val="000000" w:themeColor="text1"/>
              </w:rPr>
            </w:pPr>
            <w:r w:rsidRPr="02C42955">
              <w:rPr>
                <w:rFonts w:eastAsia="Arial" w:cs="Arial"/>
                <w:color w:val="000000" w:themeColor="text1"/>
              </w:rPr>
              <w:t>2.1.2</w:t>
            </w:r>
            <w:r w:rsidR="7B57DE3D" w:rsidRPr="02C42955">
              <w:rPr>
                <w:rFonts w:eastAsia="Arial" w:cs="Arial"/>
                <w:color w:val="000000" w:themeColor="text1"/>
              </w:rPr>
              <w:t xml:space="preserve"> Rapid response support</w:t>
            </w:r>
          </w:p>
        </w:tc>
        <w:tc>
          <w:tcPr>
            <w:tcW w:w="4155" w:type="dxa"/>
            <w:vMerge/>
            <w:tcMar>
              <w:left w:w="105" w:type="dxa"/>
              <w:right w:w="105" w:type="dxa"/>
            </w:tcMar>
          </w:tcPr>
          <w:p w14:paraId="1C801DC0" w14:textId="65D772E4" w:rsidR="7DD0602E" w:rsidRDefault="7DD0602E" w:rsidP="00D52849">
            <w:pPr>
              <w:spacing w:before="60" w:after="60"/>
              <w:rPr>
                <w:rFonts w:ascii="Arial" w:eastAsia="Arial" w:hAnsi="Arial" w:cs="Arial"/>
                <w:color w:val="000000" w:themeColor="text1"/>
                <w:sz w:val="24"/>
                <w:szCs w:val="24"/>
              </w:rPr>
            </w:pPr>
          </w:p>
        </w:tc>
      </w:tr>
      <w:tr w:rsidR="7DD0602E" w14:paraId="083CC7D9" w14:textId="77777777" w:rsidTr="62482726">
        <w:trPr>
          <w:trHeight w:val="300"/>
        </w:trPr>
        <w:tc>
          <w:tcPr>
            <w:tcW w:w="3435" w:type="dxa"/>
            <w:vMerge/>
            <w:vAlign w:val="center"/>
          </w:tcPr>
          <w:p w14:paraId="7B7D797F" w14:textId="77777777" w:rsidR="00A3394F" w:rsidRDefault="00A3394F"/>
        </w:tc>
        <w:tc>
          <w:tcPr>
            <w:tcW w:w="1200" w:type="dxa"/>
            <w:vMerge/>
            <w:vAlign w:val="center"/>
          </w:tcPr>
          <w:p w14:paraId="313E8302" w14:textId="77777777" w:rsidR="00A3394F" w:rsidRDefault="00A3394F"/>
        </w:tc>
        <w:tc>
          <w:tcPr>
            <w:tcW w:w="5115" w:type="dxa"/>
            <w:tcMar>
              <w:left w:w="105" w:type="dxa"/>
              <w:right w:w="105" w:type="dxa"/>
            </w:tcMar>
          </w:tcPr>
          <w:p w14:paraId="0B203C52" w14:textId="4E2F9C83" w:rsidR="7DD0602E" w:rsidRDefault="54F21266" w:rsidP="02C42955">
            <w:pPr>
              <w:pStyle w:val="Paragraphnonumbers"/>
              <w:spacing w:before="60" w:after="60"/>
              <w:rPr>
                <w:rFonts w:eastAsia="Arial" w:cs="Arial"/>
                <w:color w:val="000000" w:themeColor="text1"/>
              </w:rPr>
            </w:pPr>
            <w:r w:rsidRPr="08D50107">
              <w:rPr>
                <w:rFonts w:eastAsia="Arial" w:cs="Arial"/>
                <w:color w:val="000000" w:themeColor="text1"/>
              </w:rPr>
              <w:t>2.1.3</w:t>
            </w:r>
            <w:r w:rsidR="4A041175" w:rsidRPr="08D50107">
              <w:rPr>
                <w:rFonts w:eastAsia="Arial" w:cs="Arial"/>
                <w:color w:val="000000" w:themeColor="text1"/>
              </w:rPr>
              <w:t xml:space="preserve"> </w:t>
            </w:r>
            <w:r w:rsidR="7B57DE3D" w:rsidRPr="08D50107">
              <w:rPr>
                <w:rFonts w:eastAsia="Arial" w:cs="Arial"/>
                <w:color w:val="000000" w:themeColor="text1"/>
              </w:rPr>
              <w:t>Methodological development</w:t>
            </w:r>
          </w:p>
        </w:tc>
        <w:tc>
          <w:tcPr>
            <w:tcW w:w="4155" w:type="dxa"/>
            <w:vMerge/>
            <w:tcMar>
              <w:left w:w="105" w:type="dxa"/>
              <w:right w:w="105" w:type="dxa"/>
            </w:tcMar>
          </w:tcPr>
          <w:p w14:paraId="1622647A" w14:textId="15BF9B8F" w:rsidR="7DD0602E" w:rsidRDefault="7DD0602E" w:rsidP="00F41695">
            <w:pPr>
              <w:spacing w:before="60" w:after="60"/>
              <w:rPr>
                <w:rFonts w:ascii="Arial" w:eastAsia="Arial" w:hAnsi="Arial" w:cs="Arial"/>
                <w:color w:val="000000" w:themeColor="text1"/>
                <w:sz w:val="24"/>
                <w:szCs w:val="24"/>
              </w:rPr>
            </w:pPr>
          </w:p>
        </w:tc>
      </w:tr>
      <w:tr w:rsidR="7DD0602E" w14:paraId="7F6E8E3F" w14:textId="77777777" w:rsidTr="62482726">
        <w:trPr>
          <w:trHeight w:val="300"/>
        </w:trPr>
        <w:tc>
          <w:tcPr>
            <w:tcW w:w="3435" w:type="dxa"/>
            <w:vMerge w:val="restart"/>
            <w:tcMar>
              <w:left w:w="105" w:type="dxa"/>
              <w:right w:w="105" w:type="dxa"/>
            </w:tcMar>
          </w:tcPr>
          <w:p w14:paraId="4F4CBDDE" w14:textId="5FBF25A3" w:rsidR="7DD0602E" w:rsidRDefault="443AE9AA" w:rsidP="02C42955">
            <w:pPr>
              <w:pStyle w:val="Paragraphnonumbers"/>
              <w:spacing w:before="60" w:after="60"/>
              <w:rPr>
                <w:rFonts w:eastAsia="Arial" w:cs="Arial"/>
                <w:color w:val="000000" w:themeColor="text1"/>
              </w:rPr>
            </w:pPr>
            <w:r w:rsidRPr="08D50107">
              <w:rPr>
                <w:rFonts w:eastAsia="Arial" w:cs="Arial"/>
                <w:color w:val="000000" w:themeColor="text1"/>
              </w:rPr>
              <w:t>2</w:t>
            </w:r>
            <w:r w:rsidR="54F21266" w:rsidRPr="08D50107">
              <w:rPr>
                <w:rFonts w:eastAsia="Arial" w:cs="Arial"/>
                <w:color w:val="000000" w:themeColor="text1"/>
              </w:rPr>
              <w:t>.2</w:t>
            </w:r>
            <w:r w:rsidR="2B3DF762" w:rsidRPr="08D50107">
              <w:rPr>
                <w:rFonts w:eastAsia="Arial" w:cs="Arial"/>
                <w:color w:val="000000" w:themeColor="text1"/>
              </w:rPr>
              <w:t xml:space="preserve"> </w:t>
            </w:r>
            <w:r w:rsidR="00424749">
              <w:rPr>
                <w:rFonts w:eastAsia="Arial" w:cs="Arial"/>
                <w:color w:val="000000" w:themeColor="text1"/>
              </w:rPr>
              <w:t>Complex evidence syntheses</w:t>
            </w:r>
          </w:p>
        </w:tc>
        <w:tc>
          <w:tcPr>
            <w:tcW w:w="1200" w:type="dxa"/>
            <w:vMerge w:val="restart"/>
            <w:tcMar>
              <w:left w:w="105" w:type="dxa"/>
              <w:right w:w="105" w:type="dxa"/>
            </w:tcMar>
          </w:tcPr>
          <w:p w14:paraId="04238605" w14:textId="1B8F99DF"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p w14:paraId="3D0AB520" w14:textId="2668D723" w:rsidR="7DD0602E" w:rsidRDefault="7DD0602E" w:rsidP="02C42955">
            <w:pPr>
              <w:spacing w:before="60" w:after="60"/>
              <w:rPr>
                <w:rFonts w:ascii="Arial" w:eastAsia="Arial" w:hAnsi="Arial" w:cs="Arial"/>
                <w:color w:val="000000" w:themeColor="text1"/>
                <w:sz w:val="24"/>
                <w:szCs w:val="24"/>
              </w:rPr>
            </w:pPr>
          </w:p>
        </w:tc>
        <w:tc>
          <w:tcPr>
            <w:tcW w:w="5115" w:type="dxa"/>
            <w:tcMar>
              <w:left w:w="105" w:type="dxa"/>
              <w:right w:w="105" w:type="dxa"/>
            </w:tcMar>
          </w:tcPr>
          <w:p w14:paraId="450FFFB0" w14:textId="2E9CCC97" w:rsidR="7DD0602E" w:rsidRDefault="54F21266" w:rsidP="02C42955">
            <w:pPr>
              <w:pStyle w:val="Paragraphnonumbers"/>
              <w:spacing w:before="60" w:after="60"/>
              <w:rPr>
                <w:rFonts w:eastAsia="Arial" w:cs="Arial"/>
                <w:color w:val="000000" w:themeColor="text1"/>
              </w:rPr>
            </w:pPr>
            <w:r w:rsidRPr="08D50107">
              <w:rPr>
                <w:rFonts w:eastAsia="Arial" w:cs="Arial"/>
                <w:color w:val="000000" w:themeColor="text1"/>
              </w:rPr>
              <w:t>2.</w:t>
            </w:r>
            <w:r w:rsidR="1DA66E3C" w:rsidRPr="08D50107">
              <w:rPr>
                <w:rFonts w:eastAsia="Arial" w:cs="Arial"/>
                <w:color w:val="000000" w:themeColor="text1"/>
              </w:rPr>
              <w:t>2.1</w:t>
            </w:r>
            <w:r w:rsidR="7F8C49C3" w:rsidRPr="08D50107">
              <w:rPr>
                <w:rFonts w:eastAsia="Arial" w:cs="Arial"/>
                <w:color w:val="000000" w:themeColor="text1"/>
              </w:rPr>
              <w:t xml:space="preserve"> </w:t>
            </w:r>
            <w:r w:rsidR="007375CF">
              <w:rPr>
                <w:rFonts w:eastAsia="Arial" w:cs="Arial"/>
                <w:color w:val="000000" w:themeColor="text1"/>
              </w:rPr>
              <w:t>Undertaking complex evidence synthesis</w:t>
            </w:r>
          </w:p>
        </w:tc>
        <w:tc>
          <w:tcPr>
            <w:tcW w:w="4155" w:type="dxa"/>
            <w:vMerge w:val="restart"/>
            <w:tcMar>
              <w:left w:w="105" w:type="dxa"/>
              <w:right w:w="105" w:type="dxa"/>
            </w:tcMar>
          </w:tcPr>
          <w:p w14:paraId="3DD54177" w14:textId="7F2CACF8" w:rsidR="7DD0602E" w:rsidRDefault="0B0F33AE" w:rsidP="2EC56682">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To support development and update of NICE guidance and the development of NICE’s methods and processes.</w:t>
            </w:r>
          </w:p>
        </w:tc>
      </w:tr>
      <w:tr w:rsidR="7DD0602E" w14:paraId="1A7186DB" w14:textId="77777777" w:rsidTr="62482726">
        <w:trPr>
          <w:trHeight w:val="300"/>
        </w:trPr>
        <w:tc>
          <w:tcPr>
            <w:tcW w:w="3435" w:type="dxa"/>
            <w:vMerge/>
            <w:vAlign w:val="center"/>
          </w:tcPr>
          <w:p w14:paraId="21DB7F8C" w14:textId="77777777" w:rsidR="00A3394F" w:rsidRDefault="00A3394F"/>
        </w:tc>
        <w:tc>
          <w:tcPr>
            <w:tcW w:w="1200" w:type="dxa"/>
            <w:vMerge/>
            <w:vAlign w:val="center"/>
          </w:tcPr>
          <w:p w14:paraId="7E4B38E5" w14:textId="77777777" w:rsidR="00A3394F" w:rsidRDefault="00A3394F"/>
        </w:tc>
        <w:tc>
          <w:tcPr>
            <w:tcW w:w="5115" w:type="dxa"/>
            <w:tcMar>
              <w:left w:w="105" w:type="dxa"/>
              <w:right w:w="105" w:type="dxa"/>
            </w:tcMar>
          </w:tcPr>
          <w:p w14:paraId="4607E96C" w14:textId="1436593B"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2.2.2</w:t>
            </w:r>
            <w:r w:rsidR="782A1C0C" w:rsidRPr="08D50107">
              <w:rPr>
                <w:rFonts w:eastAsia="Arial" w:cs="Arial"/>
                <w:color w:val="000000" w:themeColor="text1"/>
              </w:rPr>
              <w:t xml:space="preserve"> </w:t>
            </w:r>
            <w:r w:rsidR="7B57DE3D" w:rsidRPr="08D50107">
              <w:rPr>
                <w:rFonts w:eastAsia="Arial" w:cs="Arial"/>
                <w:color w:val="000000" w:themeColor="text1"/>
              </w:rPr>
              <w:t>Development support of complex evidence synthesis methods</w:t>
            </w:r>
          </w:p>
        </w:tc>
        <w:tc>
          <w:tcPr>
            <w:tcW w:w="4155" w:type="dxa"/>
            <w:vMerge/>
            <w:tcMar>
              <w:left w:w="105" w:type="dxa"/>
              <w:right w:w="105" w:type="dxa"/>
            </w:tcMar>
          </w:tcPr>
          <w:p w14:paraId="2CB8AF6B" w14:textId="4A6BE12D" w:rsidR="7DD0602E" w:rsidRDefault="7DD0602E" w:rsidP="00D52849">
            <w:pPr>
              <w:spacing w:before="60" w:after="60"/>
              <w:rPr>
                <w:rFonts w:ascii="Arial" w:eastAsia="Arial" w:hAnsi="Arial" w:cs="Arial"/>
                <w:color w:val="000000" w:themeColor="text1"/>
                <w:sz w:val="24"/>
                <w:szCs w:val="24"/>
              </w:rPr>
            </w:pPr>
          </w:p>
        </w:tc>
      </w:tr>
      <w:tr w:rsidR="7DD0602E" w14:paraId="0F8BCDD6" w14:textId="77777777" w:rsidTr="62482726">
        <w:trPr>
          <w:trHeight w:val="300"/>
        </w:trPr>
        <w:tc>
          <w:tcPr>
            <w:tcW w:w="3435" w:type="dxa"/>
            <w:vMerge/>
            <w:vAlign w:val="center"/>
          </w:tcPr>
          <w:p w14:paraId="5607688B" w14:textId="77777777" w:rsidR="00A3394F" w:rsidRDefault="00A3394F"/>
        </w:tc>
        <w:tc>
          <w:tcPr>
            <w:tcW w:w="1200" w:type="dxa"/>
            <w:vMerge/>
            <w:vAlign w:val="center"/>
          </w:tcPr>
          <w:p w14:paraId="77A6F231" w14:textId="77777777" w:rsidR="00A3394F" w:rsidRDefault="00A3394F"/>
        </w:tc>
        <w:tc>
          <w:tcPr>
            <w:tcW w:w="5115" w:type="dxa"/>
            <w:tcMar>
              <w:left w:w="105" w:type="dxa"/>
              <w:right w:w="105" w:type="dxa"/>
            </w:tcMar>
          </w:tcPr>
          <w:p w14:paraId="4E031F9F" w14:textId="6196FDB0"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2.2.3</w:t>
            </w:r>
            <w:r w:rsidR="74DE099B" w:rsidRPr="08D50107">
              <w:rPr>
                <w:rFonts w:eastAsia="Arial" w:cs="Arial"/>
                <w:color w:val="000000" w:themeColor="text1"/>
              </w:rPr>
              <w:t xml:space="preserve"> </w:t>
            </w:r>
            <w:r w:rsidR="7B57DE3D" w:rsidRPr="08D50107">
              <w:rPr>
                <w:rFonts w:eastAsia="Arial" w:cs="Arial"/>
                <w:color w:val="000000" w:themeColor="text1"/>
              </w:rPr>
              <w:t xml:space="preserve">Quality assurance of analyses </w:t>
            </w:r>
          </w:p>
        </w:tc>
        <w:tc>
          <w:tcPr>
            <w:tcW w:w="4155" w:type="dxa"/>
            <w:vMerge/>
            <w:tcMar>
              <w:left w:w="105" w:type="dxa"/>
              <w:right w:w="105" w:type="dxa"/>
            </w:tcMar>
          </w:tcPr>
          <w:p w14:paraId="68FF47CB" w14:textId="351BE5B8" w:rsidR="7DD0602E" w:rsidRDefault="7DD0602E" w:rsidP="00D52849">
            <w:pPr>
              <w:spacing w:before="60" w:after="60"/>
              <w:rPr>
                <w:rFonts w:ascii="Arial" w:eastAsia="Arial" w:hAnsi="Arial" w:cs="Arial"/>
                <w:color w:val="000000" w:themeColor="text1"/>
                <w:sz w:val="24"/>
                <w:szCs w:val="24"/>
              </w:rPr>
            </w:pPr>
          </w:p>
        </w:tc>
      </w:tr>
      <w:tr w:rsidR="7DD0602E" w14:paraId="1CA0A713" w14:textId="77777777" w:rsidTr="62482726">
        <w:trPr>
          <w:trHeight w:val="300"/>
        </w:trPr>
        <w:tc>
          <w:tcPr>
            <w:tcW w:w="3435" w:type="dxa"/>
            <w:vMerge w:val="restart"/>
            <w:tcMar>
              <w:left w:w="105" w:type="dxa"/>
              <w:right w:w="105" w:type="dxa"/>
            </w:tcMar>
          </w:tcPr>
          <w:p w14:paraId="66EDC1EF" w14:textId="6AF2A6CE" w:rsidR="7DD0602E" w:rsidRDefault="52E2AFE1" w:rsidP="02C42955">
            <w:pPr>
              <w:pStyle w:val="Paragraphnonumbers"/>
              <w:spacing w:before="60" w:after="60"/>
              <w:rPr>
                <w:rFonts w:eastAsia="Arial" w:cs="Arial"/>
                <w:color w:val="000000" w:themeColor="text1"/>
              </w:rPr>
            </w:pPr>
            <w:r w:rsidRPr="1F3C3008">
              <w:rPr>
                <w:rFonts w:eastAsia="Arial" w:cs="Arial"/>
                <w:color w:val="000000" w:themeColor="text1"/>
              </w:rPr>
              <w:lastRenderedPageBreak/>
              <w:t>2.3</w:t>
            </w:r>
            <w:r w:rsidR="192924CD" w:rsidRPr="1F3C3008">
              <w:rPr>
                <w:rFonts w:eastAsia="Arial" w:cs="Arial"/>
                <w:color w:val="000000" w:themeColor="text1"/>
              </w:rPr>
              <w:t xml:space="preserve"> </w:t>
            </w:r>
            <w:r w:rsidR="10D88413" w:rsidRPr="1F3C3008">
              <w:rPr>
                <w:rFonts w:eastAsia="Arial" w:cs="Arial"/>
                <w:color w:val="000000" w:themeColor="text1"/>
              </w:rPr>
              <w:t>Data analytics support</w:t>
            </w:r>
          </w:p>
          <w:p w14:paraId="42609D02" w14:textId="58B9F4BA" w:rsidR="7DD0602E" w:rsidRDefault="7DD0602E" w:rsidP="02C42955">
            <w:pPr>
              <w:spacing w:before="60" w:after="60"/>
              <w:rPr>
                <w:rFonts w:ascii="Arial" w:eastAsia="Arial" w:hAnsi="Arial" w:cs="Arial"/>
                <w:color w:val="000000" w:themeColor="text1"/>
                <w:sz w:val="24"/>
                <w:szCs w:val="24"/>
              </w:rPr>
            </w:pPr>
          </w:p>
        </w:tc>
        <w:tc>
          <w:tcPr>
            <w:tcW w:w="1200" w:type="dxa"/>
            <w:vMerge w:val="restart"/>
            <w:tcMar>
              <w:left w:w="105" w:type="dxa"/>
              <w:right w:w="105" w:type="dxa"/>
            </w:tcMar>
          </w:tcPr>
          <w:p w14:paraId="2B37A1BB" w14:textId="3D634211"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p w14:paraId="217E0B00" w14:textId="5378A781" w:rsidR="7DD0602E" w:rsidRDefault="7DD0602E" w:rsidP="02C42955">
            <w:pPr>
              <w:spacing w:before="60" w:after="60"/>
              <w:rPr>
                <w:rFonts w:ascii="Arial" w:eastAsia="Arial" w:hAnsi="Arial" w:cs="Arial"/>
                <w:color w:val="000000" w:themeColor="text1"/>
                <w:sz w:val="24"/>
                <w:szCs w:val="24"/>
              </w:rPr>
            </w:pPr>
          </w:p>
        </w:tc>
        <w:tc>
          <w:tcPr>
            <w:tcW w:w="5115" w:type="dxa"/>
            <w:tcMar>
              <w:left w:w="105" w:type="dxa"/>
              <w:right w:w="105" w:type="dxa"/>
            </w:tcMar>
          </w:tcPr>
          <w:p w14:paraId="6166338B" w14:textId="7DB9599C" w:rsidR="7DD0602E" w:rsidRDefault="52E2AFE1" w:rsidP="02C42955">
            <w:pPr>
              <w:pStyle w:val="Paragraphnonumbers"/>
              <w:spacing w:before="60" w:after="60"/>
              <w:rPr>
                <w:rFonts w:eastAsia="Arial" w:cs="Arial"/>
                <w:color w:val="000000" w:themeColor="text1"/>
              </w:rPr>
            </w:pPr>
            <w:r w:rsidRPr="1F3C3008">
              <w:rPr>
                <w:rFonts w:eastAsia="Arial" w:cs="Arial"/>
                <w:color w:val="000000" w:themeColor="text1"/>
              </w:rPr>
              <w:t>2.3.1</w:t>
            </w:r>
            <w:r w:rsidR="24B0BB1A" w:rsidRPr="1F3C3008">
              <w:rPr>
                <w:rFonts w:eastAsia="Arial" w:cs="Arial"/>
                <w:color w:val="000000" w:themeColor="text1"/>
              </w:rPr>
              <w:t xml:space="preserve"> </w:t>
            </w:r>
            <w:r w:rsidR="4A947D6A" w:rsidRPr="1F3C3008">
              <w:rPr>
                <w:rFonts w:eastAsia="Arial" w:cs="Arial"/>
                <w:color w:val="000000" w:themeColor="text1"/>
              </w:rPr>
              <w:t>Primary data analysis</w:t>
            </w:r>
            <w:r w:rsidR="73383809" w:rsidRPr="1F3C3008">
              <w:rPr>
                <w:rFonts w:eastAsia="Arial" w:cs="Arial"/>
                <w:color w:val="000000" w:themeColor="text1"/>
              </w:rPr>
              <w:t xml:space="preserve"> and</w:t>
            </w:r>
            <w:r w:rsidR="2C71FAD5" w:rsidRPr="1F3C3008">
              <w:rPr>
                <w:rFonts w:eastAsia="Arial" w:cs="Arial"/>
                <w:color w:val="000000" w:themeColor="text1"/>
              </w:rPr>
              <w:t xml:space="preserve"> </w:t>
            </w:r>
            <w:r w:rsidR="4A947D6A" w:rsidRPr="1F3C3008">
              <w:rPr>
                <w:rFonts w:eastAsia="Arial" w:cs="Arial"/>
                <w:color w:val="000000" w:themeColor="text1"/>
              </w:rPr>
              <w:t>reporting</w:t>
            </w:r>
          </w:p>
        </w:tc>
        <w:tc>
          <w:tcPr>
            <w:tcW w:w="4155" w:type="dxa"/>
            <w:vMerge w:val="restart"/>
            <w:tcMar>
              <w:left w:w="105" w:type="dxa"/>
              <w:right w:w="105" w:type="dxa"/>
            </w:tcMar>
          </w:tcPr>
          <w:p w14:paraId="295D6D71" w14:textId="299A6078" w:rsidR="7DD0602E" w:rsidRDefault="71A22BA5" w:rsidP="02C42955">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To support development and update of NICE guidance</w:t>
            </w:r>
          </w:p>
        </w:tc>
      </w:tr>
      <w:tr w:rsidR="7DD0602E" w14:paraId="451CB3AC" w14:textId="77777777" w:rsidTr="62482726">
        <w:trPr>
          <w:trHeight w:val="300"/>
        </w:trPr>
        <w:tc>
          <w:tcPr>
            <w:tcW w:w="3435" w:type="dxa"/>
            <w:vMerge/>
            <w:vAlign w:val="center"/>
          </w:tcPr>
          <w:p w14:paraId="33E15DC0" w14:textId="77777777" w:rsidR="00A3394F" w:rsidRDefault="00A3394F"/>
        </w:tc>
        <w:tc>
          <w:tcPr>
            <w:tcW w:w="1200" w:type="dxa"/>
            <w:vMerge/>
            <w:vAlign w:val="center"/>
          </w:tcPr>
          <w:p w14:paraId="5767C8B1" w14:textId="77777777" w:rsidR="00A3394F" w:rsidRDefault="00A3394F"/>
        </w:tc>
        <w:tc>
          <w:tcPr>
            <w:tcW w:w="5115" w:type="dxa"/>
            <w:tcMar>
              <w:left w:w="105" w:type="dxa"/>
              <w:right w:w="105" w:type="dxa"/>
            </w:tcMar>
          </w:tcPr>
          <w:p w14:paraId="23A143BE" w14:textId="5B564EB0" w:rsidR="7DD0602E" w:rsidRDefault="52E2AFE1" w:rsidP="02C42955">
            <w:pPr>
              <w:pStyle w:val="Paragraphnonumbers"/>
              <w:spacing w:before="60" w:after="60"/>
              <w:rPr>
                <w:rFonts w:eastAsia="Arial" w:cs="Arial"/>
                <w:color w:val="000000" w:themeColor="text1"/>
              </w:rPr>
            </w:pPr>
            <w:r w:rsidRPr="08D50107">
              <w:rPr>
                <w:rFonts w:eastAsia="Arial" w:cs="Arial"/>
                <w:color w:val="000000" w:themeColor="text1"/>
              </w:rPr>
              <w:t>2.3.2</w:t>
            </w:r>
            <w:r w:rsidR="35A99355" w:rsidRPr="08D50107">
              <w:rPr>
                <w:rFonts w:eastAsia="Arial" w:cs="Arial"/>
                <w:color w:val="000000" w:themeColor="text1"/>
              </w:rPr>
              <w:t xml:space="preserve"> </w:t>
            </w:r>
            <w:r w:rsidR="10D88413" w:rsidRPr="08D50107">
              <w:rPr>
                <w:rFonts w:eastAsia="Arial" w:cs="Arial"/>
                <w:color w:val="000000" w:themeColor="text1"/>
              </w:rPr>
              <w:t xml:space="preserve">Development support of </w:t>
            </w:r>
            <w:r w:rsidR="7FE69657" w:rsidRPr="08D50107">
              <w:rPr>
                <w:rFonts w:eastAsia="Arial" w:cs="Arial"/>
                <w:color w:val="000000" w:themeColor="text1"/>
              </w:rPr>
              <w:t xml:space="preserve">primary data </w:t>
            </w:r>
            <w:r w:rsidR="10D88413" w:rsidRPr="08D50107">
              <w:rPr>
                <w:rFonts w:eastAsia="Arial" w:cs="Arial"/>
                <w:color w:val="000000" w:themeColor="text1"/>
              </w:rPr>
              <w:t>analysis of real-world data</w:t>
            </w:r>
          </w:p>
        </w:tc>
        <w:tc>
          <w:tcPr>
            <w:tcW w:w="4155" w:type="dxa"/>
            <w:vMerge/>
            <w:tcMar>
              <w:left w:w="105" w:type="dxa"/>
              <w:right w:w="105" w:type="dxa"/>
            </w:tcMar>
          </w:tcPr>
          <w:p w14:paraId="2479B2D2" w14:textId="0476F864" w:rsidR="7DD0602E" w:rsidRDefault="7DD0602E" w:rsidP="00D52849">
            <w:pPr>
              <w:spacing w:before="60" w:after="60"/>
              <w:rPr>
                <w:rFonts w:ascii="Arial" w:eastAsia="Arial" w:hAnsi="Arial" w:cs="Arial"/>
                <w:color w:val="000000" w:themeColor="text1"/>
                <w:sz w:val="24"/>
                <w:szCs w:val="24"/>
              </w:rPr>
            </w:pPr>
          </w:p>
        </w:tc>
      </w:tr>
      <w:tr w:rsidR="7DD0602E" w14:paraId="66AC847E" w14:textId="77777777" w:rsidTr="62482726">
        <w:trPr>
          <w:trHeight w:val="300"/>
        </w:trPr>
        <w:tc>
          <w:tcPr>
            <w:tcW w:w="3435" w:type="dxa"/>
            <w:vMerge/>
            <w:vAlign w:val="center"/>
          </w:tcPr>
          <w:p w14:paraId="75FEF351" w14:textId="77777777" w:rsidR="00A3394F" w:rsidRDefault="00A3394F"/>
        </w:tc>
        <w:tc>
          <w:tcPr>
            <w:tcW w:w="1200" w:type="dxa"/>
            <w:vMerge/>
            <w:vAlign w:val="center"/>
          </w:tcPr>
          <w:p w14:paraId="08802633" w14:textId="77777777" w:rsidR="00A3394F" w:rsidRDefault="00A3394F"/>
        </w:tc>
        <w:tc>
          <w:tcPr>
            <w:tcW w:w="5115" w:type="dxa"/>
            <w:tcMar>
              <w:left w:w="105" w:type="dxa"/>
              <w:right w:w="105" w:type="dxa"/>
            </w:tcMar>
          </w:tcPr>
          <w:p w14:paraId="35CBAB7C" w14:textId="546E6204"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2.3.3</w:t>
            </w:r>
            <w:r w:rsidR="2FE9395D" w:rsidRPr="08D50107">
              <w:rPr>
                <w:rFonts w:eastAsia="Arial" w:cs="Arial"/>
                <w:color w:val="000000" w:themeColor="text1"/>
              </w:rPr>
              <w:t xml:space="preserve"> </w:t>
            </w:r>
            <w:r w:rsidR="7B57DE3D" w:rsidRPr="08D50107">
              <w:rPr>
                <w:rFonts w:eastAsia="Arial" w:cs="Arial"/>
                <w:color w:val="000000" w:themeColor="text1"/>
              </w:rPr>
              <w:t xml:space="preserve">Quality assurance of </w:t>
            </w:r>
            <w:r w:rsidR="74A4159C" w:rsidRPr="08D50107">
              <w:rPr>
                <w:rFonts w:eastAsia="Arial" w:cs="Arial"/>
                <w:color w:val="000000" w:themeColor="text1"/>
              </w:rPr>
              <w:t xml:space="preserve">primary data </w:t>
            </w:r>
            <w:r w:rsidR="7B57DE3D" w:rsidRPr="08D50107">
              <w:rPr>
                <w:rFonts w:eastAsia="Arial" w:cs="Arial"/>
                <w:color w:val="000000" w:themeColor="text1"/>
              </w:rPr>
              <w:t xml:space="preserve">analysis </w:t>
            </w:r>
          </w:p>
        </w:tc>
        <w:tc>
          <w:tcPr>
            <w:tcW w:w="4155" w:type="dxa"/>
            <w:vMerge/>
            <w:tcMar>
              <w:left w:w="105" w:type="dxa"/>
              <w:right w:w="105" w:type="dxa"/>
            </w:tcMar>
          </w:tcPr>
          <w:p w14:paraId="01519024" w14:textId="6F94853A" w:rsidR="7DD0602E" w:rsidRDefault="7DD0602E" w:rsidP="00D52849">
            <w:pPr>
              <w:spacing w:before="60" w:after="60"/>
              <w:rPr>
                <w:rFonts w:ascii="Arial" w:eastAsia="Arial" w:hAnsi="Arial" w:cs="Arial"/>
                <w:color w:val="000000" w:themeColor="text1"/>
                <w:sz w:val="24"/>
                <w:szCs w:val="24"/>
              </w:rPr>
            </w:pPr>
          </w:p>
        </w:tc>
      </w:tr>
      <w:tr w:rsidR="7DD0602E" w14:paraId="68127E97" w14:textId="77777777" w:rsidTr="62482726">
        <w:trPr>
          <w:trHeight w:val="300"/>
        </w:trPr>
        <w:tc>
          <w:tcPr>
            <w:tcW w:w="3435" w:type="dxa"/>
            <w:vMerge w:val="restart"/>
            <w:tcMar>
              <w:left w:w="105" w:type="dxa"/>
              <w:right w:w="105" w:type="dxa"/>
            </w:tcMar>
          </w:tcPr>
          <w:p w14:paraId="4E94B3AC" w14:textId="0EFCEE53"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2.4</w:t>
            </w:r>
            <w:r w:rsidR="0DE59073" w:rsidRPr="08D50107">
              <w:rPr>
                <w:rFonts w:eastAsia="Arial" w:cs="Arial"/>
                <w:color w:val="000000" w:themeColor="text1"/>
              </w:rPr>
              <w:t xml:space="preserve"> </w:t>
            </w:r>
            <w:r w:rsidR="7B57DE3D" w:rsidRPr="08D50107">
              <w:rPr>
                <w:rFonts w:eastAsia="Arial" w:cs="Arial"/>
                <w:color w:val="000000" w:themeColor="text1"/>
              </w:rPr>
              <w:t>Complex decision analytic</w:t>
            </w:r>
            <w:r w:rsidR="009427A4">
              <w:rPr>
                <w:rFonts w:eastAsia="Arial" w:cs="Arial"/>
                <w:color w:val="000000" w:themeColor="text1"/>
              </w:rPr>
              <w:t xml:space="preserve"> and health economic</w:t>
            </w:r>
            <w:r w:rsidR="7B57DE3D" w:rsidRPr="08D50107">
              <w:rPr>
                <w:rFonts w:eastAsia="Arial" w:cs="Arial"/>
                <w:color w:val="000000" w:themeColor="text1"/>
              </w:rPr>
              <w:t xml:space="preserve"> modelling support</w:t>
            </w:r>
          </w:p>
        </w:tc>
        <w:tc>
          <w:tcPr>
            <w:tcW w:w="1200" w:type="dxa"/>
            <w:vMerge w:val="restart"/>
            <w:tcMar>
              <w:left w:w="105" w:type="dxa"/>
              <w:right w:w="105" w:type="dxa"/>
            </w:tcMar>
          </w:tcPr>
          <w:p w14:paraId="31733D0B" w14:textId="7E2BB4E2"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tc>
        <w:tc>
          <w:tcPr>
            <w:tcW w:w="5115" w:type="dxa"/>
            <w:tcMar>
              <w:left w:w="105" w:type="dxa"/>
              <w:right w:w="105" w:type="dxa"/>
            </w:tcMar>
          </w:tcPr>
          <w:p w14:paraId="486C36C5" w14:textId="69D96C3D"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2.4.1</w:t>
            </w:r>
            <w:r w:rsidR="486B2489" w:rsidRPr="08D50107">
              <w:rPr>
                <w:rFonts w:eastAsia="Arial" w:cs="Arial"/>
                <w:color w:val="000000" w:themeColor="text1"/>
              </w:rPr>
              <w:t xml:space="preserve"> </w:t>
            </w:r>
            <w:r w:rsidR="006D5CD3" w:rsidRPr="006D5CD3">
              <w:rPr>
                <w:rFonts w:eastAsia="Arial" w:cs="Arial"/>
                <w:color w:val="000000" w:themeColor="text1"/>
              </w:rPr>
              <w:t>Development support of complex decision analytic and health economic modelling methods</w:t>
            </w:r>
          </w:p>
        </w:tc>
        <w:tc>
          <w:tcPr>
            <w:tcW w:w="4155" w:type="dxa"/>
            <w:vMerge w:val="restart"/>
            <w:tcMar>
              <w:left w:w="105" w:type="dxa"/>
              <w:right w:w="105" w:type="dxa"/>
            </w:tcMar>
          </w:tcPr>
          <w:p w14:paraId="774E98AC" w14:textId="1A2D5728" w:rsidR="7DD0602E" w:rsidRDefault="78A7D6E2" w:rsidP="26E47ACD">
            <w:pPr>
              <w:spacing w:before="60" w:after="60"/>
              <w:rPr>
                <w:rFonts w:ascii="Arial" w:eastAsia="Arial" w:hAnsi="Arial" w:cs="Arial"/>
                <w:color w:val="000000" w:themeColor="text1"/>
                <w:sz w:val="24"/>
                <w:szCs w:val="24"/>
              </w:rPr>
            </w:pPr>
            <w:r w:rsidRPr="02C42955">
              <w:rPr>
                <w:rFonts w:ascii="Arial" w:eastAsia="Arial" w:hAnsi="Arial" w:cs="Arial"/>
                <w:color w:val="000000" w:themeColor="text1"/>
                <w:sz w:val="24"/>
                <w:szCs w:val="24"/>
              </w:rPr>
              <w:t>To support development and update of NICE guidance</w:t>
            </w:r>
          </w:p>
        </w:tc>
      </w:tr>
      <w:tr w:rsidR="7DD0602E" w14:paraId="77BC5DF2" w14:textId="77777777" w:rsidTr="62482726">
        <w:trPr>
          <w:trHeight w:val="300"/>
        </w:trPr>
        <w:tc>
          <w:tcPr>
            <w:tcW w:w="3435" w:type="dxa"/>
            <w:vMerge/>
            <w:vAlign w:val="center"/>
          </w:tcPr>
          <w:p w14:paraId="53941D46" w14:textId="77777777" w:rsidR="00A3394F" w:rsidRDefault="00A3394F"/>
        </w:tc>
        <w:tc>
          <w:tcPr>
            <w:tcW w:w="1200" w:type="dxa"/>
            <w:vMerge/>
            <w:vAlign w:val="center"/>
          </w:tcPr>
          <w:p w14:paraId="1564F7C4" w14:textId="77777777" w:rsidR="00A3394F" w:rsidRDefault="00A3394F"/>
        </w:tc>
        <w:tc>
          <w:tcPr>
            <w:tcW w:w="5115" w:type="dxa"/>
            <w:tcMar>
              <w:left w:w="105" w:type="dxa"/>
              <w:right w:w="105" w:type="dxa"/>
            </w:tcMar>
          </w:tcPr>
          <w:p w14:paraId="5E34E0E3" w14:textId="3C7AE4D2"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2.4.2</w:t>
            </w:r>
            <w:r w:rsidR="0DB2A38E" w:rsidRPr="08D50107">
              <w:rPr>
                <w:rFonts w:eastAsia="Arial" w:cs="Arial"/>
                <w:color w:val="000000" w:themeColor="text1"/>
              </w:rPr>
              <w:t xml:space="preserve"> </w:t>
            </w:r>
            <w:r w:rsidR="00405F3F">
              <w:rPr>
                <w:rFonts w:eastAsia="Arial" w:cs="Arial"/>
                <w:color w:val="000000" w:themeColor="text1"/>
              </w:rPr>
              <w:t>De novo decision analytic and health economic modelling</w:t>
            </w:r>
          </w:p>
        </w:tc>
        <w:tc>
          <w:tcPr>
            <w:tcW w:w="4155" w:type="dxa"/>
            <w:vMerge/>
            <w:tcMar>
              <w:left w:w="105" w:type="dxa"/>
              <w:right w:w="105" w:type="dxa"/>
            </w:tcMar>
          </w:tcPr>
          <w:p w14:paraId="3E25374A" w14:textId="5038F1B1" w:rsidR="7DD0602E" w:rsidRDefault="7DD0602E" w:rsidP="00D52849">
            <w:pPr>
              <w:spacing w:before="60" w:after="60"/>
              <w:rPr>
                <w:rFonts w:ascii="Arial" w:eastAsia="Arial" w:hAnsi="Arial" w:cs="Arial"/>
                <w:color w:val="000000" w:themeColor="text1"/>
                <w:sz w:val="24"/>
                <w:szCs w:val="24"/>
              </w:rPr>
            </w:pPr>
          </w:p>
        </w:tc>
      </w:tr>
      <w:tr w:rsidR="7DD0602E" w14:paraId="0D105426" w14:textId="77777777" w:rsidTr="62482726">
        <w:trPr>
          <w:trHeight w:val="300"/>
        </w:trPr>
        <w:tc>
          <w:tcPr>
            <w:tcW w:w="3435" w:type="dxa"/>
            <w:vMerge/>
            <w:vAlign w:val="center"/>
          </w:tcPr>
          <w:p w14:paraId="3954A31D" w14:textId="77777777" w:rsidR="00A3394F" w:rsidRDefault="00A3394F"/>
        </w:tc>
        <w:tc>
          <w:tcPr>
            <w:tcW w:w="1200" w:type="dxa"/>
            <w:vMerge/>
            <w:vAlign w:val="center"/>
          </w:tcPr>
          <w:p w14:paraId="21938895" w14:textId="77777777" w:rsidR="00A3394F" w:rsidRDefault="00A3394F"/>
        </w:tc>
        <w:tc>
          <w:tcPr>
            <w:tcW w:w="5115" w:type="dxa"/>
            <w:tcMar>
              <w:left w:w="105" w:type="dxa"/>
              <w:right w:w="105" w:type="dxa"/>
            </w:tcMar>
          </w:tcPr>
          <w:p w14:paraId="1B2B4A32" w14:textId="6C1D0B17"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2.4.3</w:t>
            </w:r>
            <w:r w:rsidR="22A905C8" w:rsidRPr="08D50107">
              <w:rPr>
                <w:rFonts w:eastAsia="Arial" w:cs="Arial"/>
                <w:color w:val="000000" w:themeColor="text1"/>
              </w:rPr>
              <w:t xml:space="preserve"> </w:t>
            </w:r>
            <w:r w:rsidR="7B57DE3D" w:rsidRPr="08D50107">
              <w:rPr>
                <w:rFonts w:eastAsia="Arial" w:cs="Arial"/>
                <w:color w:val="000000" w:themeColor="text1"/>
              </w:rPr>
              <w:t xml:space="preserve">Quality assurance of decision analytic </w:t>
            </w:r>
            <w:r w:rsidR="00397C08">
              <w:rPr>
                <w:rFonts w:eastAsia="Arial" w:cs="Arial"/>
                <w:color w:val="000000" w:themeColor="text1"/>
              </w:rPr>
              <w:t xml:space="preserve">and health economic </w:t>
            </w:r>
            <w:r w:rsidR="7B57DE3D" w:rsidRPr="08D50107">
              <w:rPr>
                <w:rFonts w:eastAsia="Arial" w:cs="Arial"/>
                <w:color w:val="000000" w:themeColor="text1"/>
              </w:rPr>
              <w:t>models and analyses</w:t>
            </w:r>
          </w:p>
        </w:tc>
        <w:tc>
          <w:tcPr>
            <w:tcW w:w="4155" w:type="dxa"/>
            <w:vMerge/>
            <w:tcMar>
              <w:left w:w="105" w:type="dxa"/>
              <w:right w:w="105" w:type="dxa"/>
            </w:tcMar>
          </w:tcPr>
          <w:p w14:paraId="51BE5D62" w14:textId="2077AB2D" w:rsidR="7DD0602E" w:rsidRDefault="7DD0602E" w:rsidP="00D52849">
            <w:pPr>
              <w:spacing w:before="60" w:after="60"/>
              <w:rPr>
                <w:rFonts w:ascii="Arial" w:eastAsia="Arial" w:hAnsi="Arial" w:cs="Arial"/>
                <w:color w:val="000000" w:themeColor="text1"/>
                <w:sz w:val="24"/>
                <w:szCs w:val="24"/>
              </w:rPr>
            </w:pPr>
          </w:p>
        </w:tc>
      </w:tr>
      <w:tr w:rsidR="7DD0602E" w14:paraId="577BE65C" w14:textId="77777777" w:rsidTr="62482726">
        <w:trPr>
          <w:trHeight w:val="300"/>
        </w:trPr>
        <w:tc>
          <w:tcPr>
            <w:tcW w:w="3435" w:type="dxa"/>
            <w:vMerge w:val="restart"/>
            <w:tcMar>
              <w:left w:w="105" w:type="dxa"/>
              <w:right w:w="105" w:type="dxa"/>
            </w:tcMar>
            <w:vAlign w:val="center"/>
          </w:tcPr>
          <w:p w14:paraId="6E3F5BBE" w14:textId="54FE2698"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2.5</w:t>
            </w:r>
            <w:r w:rsidR="7B57DE3D" w:rsidRPr="02C42955">
              <w:rPr>
                <w:rFonts w:eastAsia="Arial" w:cs="Arial"/>
                <w:color w:val="000000" w:themeColor="text1"/>
              </w:rPr>
              <w:t xml:space="preserve"> Methods Training</w:t>
            </w:r>
          </w:p>
        </w:tc>
        <w:tc>
          <w:tcPr>
            <w:tcW w:w="1200" w:type="dxa"/>
            <w:vMerge w:val="restart"/>
            <w:tcMar>
              <w:left w:w="105" w:type="dxa"/>
              <w:right w:w="105" w:type="dxa"/>
            </w:tcMar>
          </w:tcPr>
          <w:p w14:paraId="05F780BC" w14:textId="1705C8EA"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2</w:t>
            </w:r>
          </w:p>
        </w:tc>
        <w:tc>
          <w:tcPr>
            <w:tcW w:w="5115" w:type="dxa"/>
            <w:tcMar>
              <w:left w:w="105" w:type="dxa"/>
              <w:right w:w="105" w:type="dxa"/>
            </w:tcMar>
          </w:tcPr>
          <w:p w14:paraId="7638B26C" w14:textId="78483DC0" w:rsidR="7DD0602E" w:rsidRDefault="1DA66E3C" w:rsidP="02C42955">
            <w:pPr>
              <w:pStyle w:val="Paragraphnonumbers"/>
              <w:spacing w:before="60" w:after="60"/>
              <w:rPr>
                <w:rFonts w:eastAsia="Arial" w:cs="Arial"/>
                <w:color w:val="000000" w:themeColor="text1"/>
              </w:rPr>
            </w:pPr>
            <w:r w:rsidRPr="02C42955">
              <w:rPr>
                <w:rFonts w:eastAsia="Arial" w:cs="Arial"/>
                <w:color w:val="000000" w:themeColor="text1"/>
              </w:rPr>
              <w:t>2.5.1</w:t>
            </w:r>
            <w:r w:rsidR="7B57DE3D" w:rsidRPr="02C42955">
              <w:rPr>
                <w:rFonts w:eastAsia="Arial" w:cs="Arial"/>
                <w:color w:val="000000" w:themeColor="text1"/>
              </w:rPr>
              <w:t xml:space="preserve"> Evidence synthesis training</w:t>
            </w:r>
          </w:p>
        </w:tc>
        <w:tc>
          <w:tcPr>
            <w:tcW w:w="4155" w:type="dxa"/>
            <w:vMerge w:val="restart"/>
            <w:tcMar>
              <w:left w:w="105" w:type="dxa"/>
              <w:right w:w="105" w:type="dxa"/>
            </w:tcMar>
          </w:tcPr>
          <w:p w14:paraId="40497A7C" w14:textId="75A141C5" w:rsidR="7DD0602E" w:rsidRDefault="0864469C" w:rsidP="02C42955">
            <w:pPr>
              <w:spacing w:before="60" w:after="60"/>
              <w:rPr>
                <w:rFonts w:ascii="Arial" w:eastAsia="Arial" w:hAnsi="Arial" w:cs="Arial"/>
                <w:color w:val="000000" w:themeColor="text1"/>
                <w:sz w:val="24"/>
                <w:szCs w:val="24"/>
              </w:rPr>
            </w:pPr>
            <w:r w:rsidRPr="62482726">
              <w:rPr>
                <w:rFonts w:ascii="Arial" w:eastAsia="Arial" w:hAnsi="Arial" w:cs="Arial"/>
                <w:color w:val="000000" w:themeColor="text1"/>
                <w:sz w:val="24"/>
                <w:szCs w:val="24"/>
              </w:rPr>
              <w:t>T</w:t>
            </w:r>
            <w:r w:rsidR="10E62E53" w:rsidRPr="62482726">
              <w:rPr>
                <w:rFonts w:ascii="Arial" w:eastAsia="Arial" w:hAnsi="Arial" w:cs="Arial"/>
                <w:color w:val="000000" w:themeColor="text1"/>
                <w:sz w:val="24"/>
                <w:szCs w:val="24"/>
              </w:rPr>
              <w:t>o enhance capacity and capability</w:t>
            </w:r>
            <w:r w:rsidR="7DB6E760" w:rsidRPr="62482726">
              <w:rPr>
                <w:rFonts w:ascii="Arial" w:eastAsia="Arial" w:hAnsi="Arial" w:cs="Arial"/>
                <w:color w:val="000000" w:themeColor="text1"/>
                <w:sz w:val="24"/>
                <w:szCs w:val="24"/>
              </w:rPr>
              <w:t xml:space="preserve"> for NICE</w:t>
            </w:r>
          </w:p>
        </w:tc>
      </w:tr>
      <w:tr w:rsidR="7DD0602E" w14:paraId="61563E76" w14:textId="77777777" w:rsidTr="62482726">
        <w:trPr>
          <w:trHeight w:val="300"/>
        </w:trPr>
        <w:tc>
          <w:tcPr>
            <w:tcW w:w="3435" w:type="dxa"/>
            <w:vMerge/>
            <w:vAlign w:val="center"/>
          </w:tcPr>
          <w:p w14:paraId="321A2DD4" w14:textId="77777777" w:rsidR="00A3394F" w:rsidRDefault="00A3394F"/>
        </w:tc>
        <w:tc>
          <w:tcPr>
            <w:tcW w:w="1200" w:type="dxa"/>
            <w:vMerge/>
            <w:vAlign w:val="center"/>
          </w:tcPr>
          <w:p w14:paraId="4D51CCD3" w14:textId="77777777" w:rsidR="00A3394F" w:rsidRDefault="00A3394F"/>
        </w:tc>
        <w:tc>
          <w:tcPr>
            <w:tcW w:w="5115" w:type="dxa"/>
            <w:tcMar>
              <w:left w:w="105" w:type="dxa"/>
              <w:right w:w="105" w:type="dxa"/>
            </w:tcMar>
          </w:tcPr>
          <w:p w14:paraId="44DF0801" w14:textId="5CEC55C5"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2.5.2</w:t>
            </w:r>
            <w:r w:rsidR="4F3B8B70" w:rsidRPr="08D50107">
              <w:rPr>
                <w:rFonts w:eastAsia="Arial" w:cs="Arial"/>
                <w:color w:val="000000" w:themeColor="text1"/>
              </w:rPr>
              <w:t xml:space="preserve"> </w:t>
            </w:r>
            <w:r w:rsidR="7B57DE3D" w:rsidRPr="08D50107">
              <w:rPr>
                <w:rFonts w:eastAsia="Arial" w:cs="Arial"/>
                <w:color w:val="000000" w:themeColor="text1"/>
              </w:rPr>
              <w:t>Health economics training</w:t>
            </w:r>
          </w:p>
        </w:tc>
        <w:tc>
          <w:tcPr>
            <w:tcW w:w="4155" w:type="dxa"/>
            <w:vMerge/>
            <w:tcMar>
              <w:left w:w="105" w:type="dxa"/>
              <w:right w:w="105" w:type="dxa"/>
            </w:tcMar>
          </w:tcPr>
          <w:p w14:paraId="712207E1" w14:textId="0413B0C8" w:rsidR="7DD0602E" w:rsidRDefault="7DD0602E" w:rsidP="00D52849">
            <w:pPr>
              <w:spacing w:before="60" w:after="60"/>
              <w:rPr>
                <w:rFonts w:ascii="Arial" w:eastAsia="Arial" w:hAnsi="Arial" w:cs="Arial"/>
                <w:color w:val="000000" w:themeColor="text1"/>
                <w:sz w:val="24"/>
                <w:szCs w:val="24"/>
              </w:rPr>
            </w:pPr>
          </w:p>
        </w:tc>
      </w:tr>
      <w:tr w:rsidR="7DD0602E" w14:paraId="547DBFC4" w14:textId="77777777" w:rsidTr="62482726">
        <w:trPr>
          <w:trHeight w:val="300"/>
        </w:trPr>
        <w:tc>
          <w:tcPr>
            <w:tcW w:w="3435" w:type="dxa"/>
            <w:vMerge/>
            <w:vAlign w:val="center"/>
          </w:tcPr>
          <w:p w14:paraId="4767EFEC" w14:textId="77777777" w:rsidR="00A3394F" w:rsidRDefault="00A3394F"/>
        </w:tc>
        <w:tc>
          <w:tcPr>
            <w:tcW w:w="1200" w:type="dxa"/>
            <w:vMerge/>
            <w:vAlign w:val="center"/>
          </w:tcPr>
          <w:p w14:paraId="4E9B5FCB" w14:textId="77777777" w:rsidR="00A3394F" w:rsidRDefault="00A3394F"/>
        </w:tc>
        <w:tc>
          <w:tcPr>
            <w:tcW w:w="5115" w:type="dxa"/>
            <w:tcMar>
              <w:left w:w="105" w:type="dxa"/>
              <w:right w:w="105" w:type="dxa"/>
            </w:tcMar>
          </w:tcPr>
          <w:p w14:paraId="00AACC4D" w14:textId="196D9680" w:rsidR="7DD0602E" w:rsidRDefault="1DA66E3C" w:rsidP="02C42955">
            <w:pPr>
              <w:pStyle w:val="Paragraphnonumbers"/>
              <w:spacing w:before="60" w:after="60"/>
              <w:rPr>
                <w:rFonts w:eastAsia="Arial" w:cs="Arial"/>
                <w:color w:val="000000" w:themeColor="text1"/>
              </w:rPr>
            </w:pPr>
            <w:r w:rsidRPr="08D50107">
              <w:rPr>
                <w:rFonts w:eastAsia="Arial" w:cs="Arial"/>
                <w:color w:val="000000" w:themeColor="text1"/>
              </w:rPr>
              <w:t>2.5.3</w:t>
            </w:r>
            <w:r w:rsidR="2331CF80" w:rsidRPr="08D50107">
              <w:rPr>
                <w:rFonts w:eastAsia="Arial" w:cs="Arial"/>
                <w:color w:val="000000" w:themeColor="text1"/>
              </w:rPr>
              <w:t xml:space="preserve"> </w:t>
            </w:r>
            <w:r w:rsidR="7B57DE3D" w:rsidRPr="08D50107">
              <w:rPr>
                <w:rFonts w:eastAsia="Arial" w:cs="Arial"/>
                <w:color w:val="000000" w:themeColor="text1"/>
              </w:rPr>
              <w:t>Creation of online training resources</w:t>
            </w:r>
          </w:p>
        </w:tc>
        <w:tc>
          <w:tcPr>
            <w:tcW w:w="4155" w:type="dxa"/>
            <w:vMerge/>
            <w:tcMar>
              <w:left w:w="105" w:type="dxa"/>
              <w:right w:w="105" w:type="dxa"/>
            </w:tcMar>
          </w:tcPr>
          <w:p w14:paraId="460CAB6E" w14:textId="5627E886" w:rsidR="7DD0602E" w:rsidRDefault="7DD0602E" w:rsidP="00D52849">
            <w:pPr>
              <w:spacing w:before="60" w:after="60"/>
              <w:rPr>
                <w:rFonts w:ascii="Arial" w:eastAsia="Arial" w:hAnsi="Arial" w:cs="Arial"/>
                <w:color w:val="000000" w:themeColor="text1"/>
                <w:sz w:val="24"/>
                <w:szCs w:val="24"/>
              </w:rPr>
            </w:pPr>
          </w:p>
        </w:tc>
      </w:tr>
      <w:tr w:rsidR="7DD0602E" w14:paraId="2221AE0F" w14:textId="77777777" w:rsidTr="62482726">
        <w:trPr>
          <w:trHeight w:val="300"/>
        </w:trPr>
        <w:tc>
          <w:tcPr>
            <w:tcW w:w="13905" w:type="dxa"/>
            <w:gridSpan w:val="4"/>
            <w:tcMar>
              <w:left w:w="105" w:type="dxa"/>
              <w:right w:w="105" w:type="dxa"/>
            </w:tcMar>
            <w:vAlign w:val="center"/>
          </w:tcPr>
          <w:p w14:paraId="57CB1A15" w14:textId="72F6C0F6" w:rsidR="7DD0602E" w:rsidRDefault="7DD0602E" w:rsidP="02C42955">
            <w:pPr>
              <w:spacing w:before="60" w:after="60"/>
              <w:rPr>
                <w:rFonts w:ascii="Arial" w:eastAsia="Arial" w:hAnsi="Arial" w:cs="Arial"/>
                <w:color w:val="000000" w:themeColor="text1"/>
                <w:sz w:val="24"/>
                <w:szCs w:val="24"/>
              </w:rPr>
            </w:pPr>
          </w:p>
        </w:tc>
      </w:tr>
      <w:tr w:rsidR="7DD0602E" w14:paraId="6A1D9337" w14:textId="77777777" w:rsidTr="62482726">
        <w:trPr>
          <w:trHeight w:val="300"/>
        </w:trPr>
        <w:tc>
          <w:tcPr>
            <w:tcW w:w="13905" w:type="dxa"/>
            <w:gridSpan w:val="4"/>
            <w:tcMar>
              <w:left w:w="105" w:type="dxa"/>
              <w:right w:w="105" w:type="dxa"/>
            </w:tcMar>
          </w:tcPr>
          <w:p w14:paraId="5D10D921" w14:textId="7D3FEE4B" w:rsidR="7DD0602E" w:rsidRDefault="2B16E278" w:rsidP="02C42955">
            <w:pPr>
              <w:pStyle w:val="Paragraphnonumbers"/>
              <w:spacing w:before="60" w:after="60"/>
              <w:rPr>
                <w:rFonts w:eastAsia="Arial" w:cs="Arial"/>
                <w:color w:val="000000" w:themeColor="text1"/>
              </w:rPr>
            </w:pPr>
            <w:r w:rsidRPr="7DC3783C">
              <w:rPr>
                <w:rFonts w:eastAsia="Arial" w:cs="Arial"/>
                <w:b/>
                <w:bCs/>
                <w:color w:val="000000" w:themeColor="text1"/>
              </w:rPr>
              <w:t xml:space="preserve">Lot 3 – </w:t>
            </w:r>
            <w:r w:rsidR="07E51F11" w:rsidRPr="7DC3783C">
              <w:rPr>
                <w:rFonts w:eastAsia="Arial" w:cs="Arial"/>
                <w:b/>
                <w:bCs/>
                <w:color w:val="000000" w:themeColor="text1"/>
              </w:rPr>
              <w:t>Evidence Generation to Support Access</w:t>
            </w:r>
          </w:p>
        </w:tc>
      </w:tr>
      <w:tr w:rsidR="7DD0602E" w14:paraId="2DFE60CC" w14:textId="77777777" w:rsidTr="62482726">
        <w:trPr>
          <w:trHeight w:val="300"/>
        </w:trPr>
        <w:tc>
          <w:tcPr>
            <w:tcW w:w="3435" w:type="dxa"/>
            <w:vMerge w:val="restart"/>
            <w:tcMar>
              <w:left w:w="105" w:type="dxa"/>
              <w:right w:w="105" w:type="dxa"/>
            </w:tcMar>
          </w:tcPr>
          <w:p w14:paraId="73EBA634" w14:textId="3783829D" w:rsidR="7DD0602E" w:rsidRDefault="75F84134" w:rsidP="02C42955">
            <w:pPr>
              <w:pStyle w:val="Paragraphnonumbers"/>
              <w:spacing w:before="60" w:after="60"/>
              <w:rPr>
                <w:rFonts w:eastAsia="Arial" w:cs="Arial"/>
                <w:color w:val="000000" w:themeColor="text1"/>
              </w:rPr>
            </w:pPr>
            <w:r w:rsidRPr="02C42955">
              <w:rPr>
                <w:rFonts w:eastAsia="Arial" w:cs="Arial"/>
                <w:color w:val="000000" w:themeColor="text1"/>
              </w:rPr>
              <w:t>3</w:t>
            </w:r>
            <w:r w:rsidR="7B57DE3D" w:rsidRPr="02C42955">
              <w:rPr>
                <w:rFonts w:eastAsia="Arial" w:cs="Arial"/>
                <w:color w:val="000000" w:themeColor="text1"/>
              </w:rPr>
              <w:t xml:space="preserve"> Managed Access and early value assessment evidence generation</w:t>
            </w:r>
          </w:p>
          <w:p w14:paraId="3C3DE557" w14:textId="18BAADE4" w:rsidR="7DD0602E" w:rsidRDefault="7DD0602E" w:rsidP="02C42955">
            <w:pPr>
              <w:spacing w:before="60" w:after="60" w:line="240" w:lineRule="auto"/>
              <w:rPr>
                <w:rFonts w:ascii="Arial" w:eastAsia="Arial" w:hAnsi="Arial" w:cs="Arial"/>
                <w:color w:val="000000" w:themeColor="text1"/>
                <w:sz w:val="24"/>
                <w:szCs w:val="24"/>
              </w:rPr>
            </w:pPr>
          </w:p>
        </w:tc>
        <w:tc>
          <w:tcPr>
            <w:tcW w:w="1200" w:type="dxa"/>
            <w:vMerge w:val="restart"/>
            <w:tcMar>
              <w:left w:w="105" w:type="dxa"/>
              <w:right w:w="105" w:type="dxa"/>
            </w:tcMar>
          </w:tcPr>
          <w:p w14:paraId="6DF7FDC9" w14:textId="03B7A45B"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Lot 3</w:t>
            </w:r>
          </w:p>
        </w:tc>
        <w:tc>
          <w:tcPr>
            <w:tcW w:w="5115" w:type="dxa"/>
            <w:tcMar>
              <w:left w:w="105" w:type="dxa"/>
              <w:right w:w="105" w:type="dxa"/>
            </w:tcMar>
          </w:tcPr>
          <w:p w14:paraId="6D80BFFF" w14:textId="3767F99C" w:rsidR="7DD0602E" w:rsidRDefault="445CAF13" w:rsidP="02C42955">
            <w:pPr>
              <w:pStyle w:val="Paragraphnonumbers"/>
              <w:spacing w:before="60" w:after="60"/>
              <w:rPr>
                <w:rFonts w:eastAsia="Arial" w:cs="Arial"/>
                <w:color w:val="000000" w:themeColor="text1"/>
              </w:rPr>
            </w:pPr>
            <w:r w:rsidRPr="02C42955">
              <w:rPr>
                <w:rFonts w:eastAsia="Arial" w:cs="Arial"/>
                <w:color w:val="000000" w:themeColor="text1"/>
              </w:rPr>
              <w:t>3.1</w:t>
            </w:r>
            <w:r w:rsidR="7B57DE3D" w:rsidRPr="02C42955">
              <w:rPr>
                <w:rFonts w:eastAsia="Arial" w:cs="Arial"/>
                <w:color w:val="000000" w:themeColor="text1"/>
              </w:rPr>
              <w:t xml:space="preserve"> – Set up and manage data collection (per year)</w:t>
            </w:r>
          </w:p>
        </w:tc>
        <w:tc>
          <w:tcPr>
            <w:tcW w:w="4155" w:type="dxa"/>
            <w:tcMar>
              <w:left w:w="105" w:type="dxa"/>
              <w:right w:w="105" w:type="dxa"/>
            </w:tcMar>
          </w:tcPr>
          <w:p w14:paraId="5D720B04" w14:textId="2086832D"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Support registry. Deliver analysis for MAA</w:t>
            </w:r>
          </w:p>
        </w:tc>
      </w:tr>
      <w:tr w:rsidR="7DD0602E" w14:paraId="7FA9C970" w14:textId="77777777" w:rsidTr="62482726">
        <w:trPr>
          <w:trHeight w:val="300"/>
        </w:trPr>
        <w:tc>
          <w:tcPr>
            <w:tcW w:w="3435" w:type="dxa"/>
            <w:vMerge/>
            <w:vAlign w:val="center"/>
          </w:tcPr>
          <w:p w14:paraId="1F871DA7" w14:textId="77777777" w:rsidR="00A3394F" w:rsidRDefault="00A3394F"/>
        </w:tc>
        <w:tc>
          <w:tcPr>
            <w:tcW w:w="1200" w:type="dxa"/>
            <w:vMerge/>
            <w:vAlign w:val="center"/>
          </w:tcPr>
          <w:p w14:paraId="29A3C501" w14:textId="77777777" w:rsidR="00A3394F" w:rsidRDefault="00A3394F"/>
        </w:tc>
        <w:tc>
          <w:tcPr>
            <w:tcW w:w="5115" w:type="dxa"/>
            <w:tcMar>
              <w:left w:w="105" w:type="dxa"/>
              <w:right w:w="105" w:type="dxa"/>
            </w:tcMar>
          </w:tcPr>
          <w:p w14:paraId="2C8AEC65" w14:textId="3FF90E21" w:rsidR="7DD0602E" w:rsidRDefault="1F3CC733" w:rsidP="02C42955">
            <w:pPr>
              <w:pStyle w:val="Paragraphnonumbers"/>
              <w:spacing w:before="60" w:after="60"/>
              <w:rPr>
                <w:rFonts w:eastAsia="Arial" w:cs="Arial"/>
                <w:color w:val="000000" w:themeColor="text1"/>
              </w:rPr>
            </w:pPr>
            <w:r w:rsidRPr="02C42955">
              <w:rPr>
                <w:rFonts w:eastAsia="Arial" w:cs="Arial"/>
                <w:color w:val="000000" w:themeColor="text1"/>
              </w:rPr>
              <w:t>3.2</w:t>
            </w:r>
            <w:r w:rsidR="7B57DE3D" w:rsidRPr="02C42955">
              <w:rPr>
                <w:rFonts w:eastAsia="Arial" w:cs="Arial"/>
                <w:color w:val="000000" w:themeColor="text1"/>
              </w:rPr>
              <w:t xml:space="preserve"> – Routine active data surveillance (may include review of data protocol/ statistical analysis plan/ regular data reports) (per year)</w:t>
            </w:r>
          </w:p>
        </w:tc>
        <w:tc>
          <w:tcPr>
            <w:tcW w:w="4155" w:type="dxa"/>
            <w:tcMar>
              <w:left w:w="105" w:type="dxa"/>
              <w:right w:w="105" w:type="dxa"/>
            </w:tcMar>
          </w:tcPr>
          <w:p w14:paraId="4E6110CF" w14:textId="05789401" w:rsidR="7DD0602E" w:rsidRDefault="7DD0602E" w:rsidP="02C42955">
            <w:pPr>
              <w:spacing w:before="60" w:after="60"/>
              <w:rPr>
                <w:rFonts w:ascii="Arial" w:eastAsia="Arial" w:hAnsi="Arial" w:cs="Arial"/>
                <w:color w:val="000000" w:themeColor="text1"/>
                <w:sz w:val="24"/>
                <w:szCs w:val="24"/>
              </w:rPr>
            </w:pPr>
          </w:p>
        </w:tc>
      </w:tr>
      <w:tr w:rsidR="7DD0602E" w14:paraId="25B69AF0" w14:textId="77777777" w:rsidTr="62482726">
        <w:trPr>
          <w:trHeight w:val="300"/>
        </w:trPr>
        <w:tc>
          <w:tcPr>
            <w:tcW w:w="3435" w:type="dxa"/>
            <w:vMerge/>
            <w:vAlign w:val="center"/>
          </w:tcPr>
          <w:p w14:paraId="4BFD4A23" w14:textId="77777777" w:rsidR="00A3394F" w:rsidRDefault="00A3394F"/>
        </w:tc>
        <w:tc>
          <w:tcPr>
            <w:tcW w:w="1200" w:type="dxa"/>
            <w:vMerge/>
            <w:vAlign w:val="center"/>
          </w:tcPr>
          <w:p w14:paraId="5ED2042F" w14:textId="77777777" w:rsidR="00A3394F" w:rsidRDefault="00A3394F"/>
        </w:tc>
        <w:tc>
          <w:tcPr>
            <w:tcW w:w="5115" w:type="dxa"/>
            <w:tcMar>
              <w:left w:w="105" w:type="dxa"/>
              <w:right w:w="105" w:type="dxa"/>
            </w:tcMar>
          </w:tcPr>
          <w:p w14:paraId="2DBF7286" w14:textId="31367E95" w:rsidR="7DD0602E" w:rsidRDefault="15BB33DC" w:rsidP="02C42955">
            <w:pPr>
              <w:pStyle w:val="Paragraphnonumbers"/>
              <w:spacing w:before="60" w:after="60"/>
              <w:rPr>
                <w:rFonts w:eastAsia="Arial" w:cs="Arial"/>
                <w:color w:val="000000" w:themeColor="text1"/>
              </w:rPr>
            </w:pPr>
            <w:r w:rsidRPr="02C42955">
              <w:rPr>
                <w:rFonts w:eastAsia="Arial" w:cs="Arial"/>
                <w:color w:val="000000" w:themeColor="text1"/>
              </w:rPr>
              <w:t>3.3</w:t>
            </w:r>
            <w:r w:rsidR="7B57DE3D" w:rsidRPr="02C42955">
              <w:rPr>
                <w:rFonts w:eastAsia="Arial" w:cs="Arial"/>
                <w:color w:val="000000" w:themeColor="text1"/>
              </w:rPr>
              <w:t xml:space="preserve"> – Rapid, light touch HTA model to support early decision making</w:t>
            </w:r>
          </w:p>
        </w:tc>
        <w:tc>
          <w:tcPr>
            <w:tcW w:w="4155" w:type="dxa"/>
            <w:tcMar>
              <w:left w:w="105" w:type="dxa"/>
              <w:right w:w="105" w:type="dxa"/>
            </w:tcMar>
          </w:tcPr>
          <w:p w14:paraId="50DC0F12" w14:textId="2CDE16A5"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 xml:space="preserve">To support early access / rapid entry </w:t>
            </w:r>
          </w:p>
        </w:tc>
      </w:tr>
      <w:tr w:rsidR="7DD0602E" w14:paraId="038168B4" w14:textId="77777777" w:rsidTr="62482726">
        <w:trPr>
          <w:trHeight w:val="300"/>
        </w:trPr>
        <w:tc>
          <w:tcPr>
            <w:tcW w:w="3435" w:type="dxa"/>
            <w:vMerge/>
            <w:vAlign w:val="center"/>
          </w:tcPr>
          <w:p w14:paraId="0CA315DB" w14:textId="77777777" w:rsidR="00A3394F" w:rsidRDefault="00A3394F"/>
        </w:tc>
        <w:tc>
          <w:tcPr>
            <w:tcW w:w="1200" w:type="dxa"/>
            <w:vMerge/>
            <w:vAlign w:val="center"/>
          </w:tcPr>
          <w:p w14:paraId="7824E0BA" w14:textId="77777777" w:rsidR="00A3394F" w:rsidRDefault="00A3394F"/>
        </w:tc>
        <w:tc>
          <w:tcPr>
            <w:tcW w:w="5115" w:type="dxa"/>
            <w:tcMar>
              <w:left w:w="105" w:type="dxa"/>
              <w:right w:w="105" w:type="dxa"/>
            </w:tcMar>
          </w:tcPr>
          <w:p w14:paraId="79E14FE6" w14:textId="575AC74F" w:rsidR="7DD0602E" w:rsidRDefault="0F521208" w:rsidP="02C42955">
            <w:pPr>
              <w:pStyle w:val="Paragraphnonumbers"/>
              <w:spacing w:before="60" w:after="60"/>
              <w:rPr>
                <w:rFonts w:eastAsia="Arial" w:cs="Arial"/>
                <w:color w:val="000000" w:themeColor="text1"/>
              </w:rPr>
            </w:pPr>
            <w:r w:rsidRPr="02C42955">
              <w:rPr>
                <w:rFonts w:eastAsia="Arial" w:cs="Arial"/>
                <w:color w:val="000000" w:themeColor="text1"/>
              </w:rPr>
              <w:t>3.4</w:t>
            </w:r>
            <w:r w:rsidR="7B57DE3D" w:rsidRPr="02C42955">
              <w:rPr>
                <w:rFonts w:eastAsia="Arial" w:cs="Arial"/>
                <w:color w:val="000000" w:themeColor="text1"/>
              </w:rPr>
              <w:t xml:space="preserve"> – EVA evidence generation plan development</w:t>
            </w:r>
          </w:p>
        </w:tc>
        <w:tc>
          <w:tcPr>
            <w:tcW w:w="4155" w:type="dxa"/>
            <w:tcMar>
              <w:left w:w="105" w:type="dxa"/>
              <w:right w:w="105" w:type="dxa"/>
            </w:tcMar>
          </w:tcPr>
          <w:p w14:paraId="06356C78" w14:textId="510C6613" w:rsidR="7DD0602E" w:rsidRDefault="7B57DE3D" w:rsidP="02C42955">
            <w:pPr>
              <w:pStyle w:val="Paragraphnonumbers"/>
              <w:spacing w:before="60" w:after="60"/>
              <w:rPr>
                <w:rFonts w:eastAsia="Arial" w:cs="Arial"/>
                <w:color w:val="000000" w:themeColor="text1"/>
              </w:rPr>
            </w:pPr>
            <w:r w:rsidRPr="02C42955">
              <w:rPr>
                <w:rFonts w:eastAsia="Arial" w:cs="Arial"/>
                <w:color w:val="000000" w:themeColor="text1"/>
              </w:rPr>
              <w:t>When capacity in team is not able to meet needs</w:t>
            </w:r>
          </w:p>
        </w:tc>
      </w:tr>
      <w:tr w:rsidR="7DD0602E" w14:paraId="560F71E0" w14:textId="77777777" w:rsidTr="62482726">
        <w:trPr>
          <w:trHeight w:val="300"/>
        </w:trPr>
        <w:tc>
          <w:tcPr>
            <w:tcW w:w="3435" w:type="dxa"/>
            <w:vMerge/>
            <w:vAlign w:val="center"/>
          </w:tcPr>
          <w:p w14:paraId="69C49DB4" w14:textId="77777777" w:rsidR="00A3394F" w:rsidRDefault="00A3394F"/>
        </w:tc>
        <w:tc>
          <w:tcPr>
            <w:tcW w:w="1200" w:type="dxa"/>
            <w:vMerge/>
            <w:vAlign w:val="center"/>
          </w:tcPr>
          <w:p w14:paraId="3A8A3120" w14:textId="77777777" w:rsidR="00A3394F" w:rsidRDefault="00A3394F"/>
        </w:tc>
        <w:tc>
          <w:tcPr>
            <w:tcW w:w="5115" w:type="dxa"/>
            <w:tcMar>
              <w:left w:w="105" w:type="dxa"/>
              <w:right w:w="105" w:type="dxa"/>
            </w:tcMar>
          </w:tcPr>
          <w:p w14:paraId="1FC9D02C" w14:textId="6068D612" w:rsidR="7DD0602E" w:rsidRDefault="3CC81586" w:rsidP="02C42955">
            <w:pPr>
              <w:pStyle w:val="Paragraphnonumbers"/>
              <w:spacing w:before="60" w:after="60"/>
              <w:rPr>
                <w:rFonts w:eastAsia="Arial" w:cs="Arial"/>
                <w:color w:val="000000" w:themeColor="text1"/>
              </w:rPr>
            </w:pPr>
            <w:r w:rsidRPr="02C42955">
              <w:rPr>
                <w:rFonts w:eastAsia="Arial" w:cs="Arial"/>
                <w:color w:val="000000" w:themeColor="text1"/>
              </w:rPr>
              <w:t>3.5</w:t>
            </w:r>
            <w:r w:rsidR="7B57DE3D" w:rsidRPr="02C42955">
              <w:rPr>
                <w:rFonts w:eastAsia="Arial" w:cs="Arial"/>
                <w:color w:val="000000" w:themeColor="text1"/>
              </w:rPr>
              <w:t xml:space="preserve"> – Evidence generation protocol development</w:t>
            </w:r>
          </w:p>
        </w:tc>
        <w:tc>
          <w:tcPr>
            <w:tcW w:w="4155" w:type="dxa"/>
            <w:tcMar>
              <w:left w:w="105" w:type="dxa"/>
              <w:right w:w="105" w:type="dxa"/>
            </w:tcMar>
          </w:tcPr>
          <w:p w14:paraId="5EE0487F" w14:textId="4EF739FB" w:rsidR="7DD0602E" w:rsidRDefault="7B57DE3D" w:rsidP="02C42955">
            <w:pPr>
              <w:pStyle w:val="Paragraphnonumbers"/>
              <w:rPr>
                <w:rFonts w:eastAsia="Arial" w:cs="Arial"/>
                <w:color w:val="000000" w:themeColor="text1"/>
              </w:rPr>
            </w:pPr>
            <w:r w:rsidRPr="02C42955">
              <w:rPr>
                <w:rFonts w:eastAsia="Arial" w:cs="Arial"/>
                <w:color w:val="000000" w:themeColor="text1"/>
              </w:rPr>
              <w:t>To support companies/topics as needed e.g. high profile</w:t>
            </w:r>
          </w:p>
        </w:tc>
      </w:tr>
      <w:tr w:rsidR="2244C92D" w14:paraId="640E0731" w14:textId="77777777" w:rsidTr="62482726">
        <w:trPr>
          <w:trHeight w:val="300"/>
        </w:trPr>
        <w:tc>
          <w:tcPr>
            <w:tcW w:w="13905" w:type="dxa"/>
            <w:gridSpan w:val="4"/>
            <w:tcMar>
              <w:left w:w="105" w:type="dxa"/>
              <w:right w:w="105" w:type="dxa"/>
            </w:tcMar>
          </w:tcPr>
          <w:p w14:paraId="60D63D32" w14:textId="0F022E18" w:rsidR="2244C92D" w:rsidRDefault="2244C92D" w:rsidP="2244C92D">
            <w:pPr>
              <w:pStyle w:val="Paragraphnonumbers"/>
              <w:rPr>
                <w:rFonts w:eastAsia="Arial" w:cs="Arial"/>
                <w:color w:val="000000" w:themeColor="text1"/>
              </w:rPr>
            </w:pPr>
          </w:p>
        </w:tc>
      </w:tr>
      <w:tr w:rsidR="2244C92D" w14:paraId="11076105" w14:textId="77777777" w:rsidTr="62482726">
        <w:trPr>
          <w:trHeight w:val="300"/>
        </w:trPr>
        <w:tc>
          <w:tcPr>
            <w:tcW w:w="13905" w:type="dxa"/>
            <w:gridSpan w:val="4"/>
            <w:tcMar>
              <w:left w:w="105" w:type="dxa"/>
              <w:right w:w="105" w:type="dxa"/>
            </w:tcMar>
          </w:tcPr>
          <w:p w14:paraId="1ACECE75" w14:textId="6037A1B8" w:rsidR="1BCFDF29" w:rsidRDefault="1BCFDF29" w:rsidP="2244C92D">
            <w:pPr>
              <w:pStyle w:val="Paragraphnonumbers"/>
              <w:rPr>
                <w:rFonts w:eastAsia="Arial" w:cs="Arial"/>
                <w:b/>
                <w:bCs/>
                <w:color w:val="000000" w:themeColor="text1"/>
              </w:rPr>
            </w:pPr>
            <w:r w:rsidRPr="6789AB4A">
              <w:rPr>
                <w:rFonts w:eastAsia="Arial" w:cs="Arial"/>
                <w:b/>
                <w:bCs/>
                <w:color w:val="000000" w:themeColor="text1"/>
              </w:rPr>
              <w:t xml:space="preserve">Lot 4 – </w:t>
            </w:r>
            <w:r w:rsidR="4B6D3D2D" w:rsidRPr="6789AB4A">
              <w:rPr>
                <w:rFonts w:eastAsia="Arial" w:cs="Arial"/>
                <w:b/>
                <w:bCs/>
                <w:color w:val="000000" w:themeColor="text1"/>
              </w:rPr>
              <w:t>Supplementary Services</w:t>
            </w:r>
          </w:p>
        </w:tc>
      </w:tr>
      <w:tr w:rsidR="2244C92D" w14:paraId="01C4DFE3" w14:textId="77777777" w:rsidTr="62482726">
        <w:trPr>
          <w:trHeight w:val="300"/>
        </w:trPr>
        <w:tc>
          <w:tcPr>
            <w:tcW w:w="3435" w:type="dxa"/>
            <w:tcMar>
              <w:left w:w="105" w:type="dxa"/>
              <w:right w:w="105" w:type="dxa"/>
            </w:tcMar>
          </w:tcPr>
          <w:p w14:paraId="1F63AD06" w14:textId="7CA4FF15" w:rsidR="77E1CAC1" w:rsidRDefault="77E1CAC1" w:rsidP="2244C92D">
            <w:pPr>
              <w:pStyle w:val="Paragraphnonumbers"/>
              <w:rPr>
                <w:rFonts w:eastAsia="Arial" w:cs="Arial"/>
                <w:color w:val="000000" w:themeColor="text1"/>
              </w:rPr>
            </w:pPr>
            <w:r w:rsidRPr="2244C92D">
              <w:rPr>
                <w:rFonts w:eastAsia="Arial" w:cs="Arial"/>
                <w:color w:val="000000" w:themeColor="text1"/>
              </w:rPr>
              <w:t>Supplementary</w:t>
            </w:r>
            <w:r w:rsidR="60D883C8" w:rsidRPr="2244C92D">
              <w:rPr>
                <w:rFonts w:eastAsia="Arial" w:cs="Arial"/>
                <w:color w:val="000000" w:themeColor="text1"/>
              </w:rPr>
              <w:t xml:space="preserve"> </w:t>
            </w:r>
            <w:r w:rsidR="7A57F727" w:rsidRPr="2244C92D">
              <w:rPr>
                <w:rFonts w:eastAsia="Arial" w:cs="Arial"/>
                <w:color w:val="000000" w:themeColor="text1"/>
              </w:rPr>
              <w:t>services</w:t>
            </w:r>
          </w:p>
        </w:tc>
        <w:tc>
          <w:tcPr>
            <w:tcW w:w="1200" w:type="dxa"/>
            <w:tcMar>
              <w:left w:w="105" w:type="dxa"/>
              <w:right w:w="105" w:type="dxa"/>
            </w:tcMar>
          </w:tcPr>
          <w:p w14:paraId="6CDBB1BE" w14:textId="6B9DEFCB" w:rsidR="110656E2" w:rsidRDefault="110656E2" w:rsidP="2244C92D">
            <w:pPr>
              <w:pStyle w:val="Paragraphnonumbers"/>
              <w:rPr>
                <w:rFonts w:eastAsia="Arial" w:cs="Arial"/>
                <w:color w:val="000000" w:themeColor="text1"/>
              </w:rPr>
            </w:pPr>
            <w:r w:rsidRPr="2244C92D">
              <w:rPr>
                <w:rFonts w:eastAsia="Arial" w:cs="Arial"/>
                <w:color w:val="000000" w:themeColor="text1"/>
              </w:rPr>
              <w:t>Lot 4</w:t>
            </w:r>
          </w:p>
        </w:tc>
        <w:tc>
          <w:tcPr>
            <w:tcW w:w="5115" w:type="dxa"/>
            <w:tcMar>
              <w:left w:w="105" w:type="dxa"/>
              <w:right w:w="105" w:type="dxa"/>
            </w:tcMar>
          </w:tcPr>
          <w:p w14:paraId="47DD808D" w14:textId="4ED2EB43" w:rsidR="22A1B562" w:rsidRDefault="22A1B562" w:rsidP="2244C92D">
            <w:pPr>
              <w:pStyle w:val="Paragraphnonumbers"/>
              <w:rPr>
                <w:rFonts w:eastAsia="Arial" w:cs="Arial"/>
                <w:color w:val="000000" w:themeColor="text1"/>
              </w:rPr>
            </w:pPr>
            <w:r w:rsidRPr="2244C92D">
              <w:rPr>
                <w:rFonts w:eastAsia="Arial" w:cs="Arial"/>
                <w:color w:val="000000" w:themeColor="text1"/>
              </w:rPr>
              <w:t>4.1 – Research Governance &amp; Ethics Support</w:t>
            </w:r>
          </w:p>
        </w:tc>
        <w:tc>
          <w:tcPr>
            <w:tcW w:w="4155" w:type="dxa"/>
            <w:tcMar>
              <w:left w:w="105" w:type="dxa"/>
              <w:right w:w="105" w:type="dxa"/>
            </w:tcMar>
          </w:tcPr>
          <w:p w14:paraId="3916CD80" w14:textId="415F3519" w:rsidR="2244C92D" w:rsidRDefault="2244C92D" w:rsidP="2244C92D">
            <w:pPr>
              <w:pStyle w:val="Paragraphnonumbers"/>
              <w:rPr>
                <w:rFonts w:eastAsia="Arial" w:cs="Arial"/>
                <w:color w:val="000000" w:themeColor="text1"/>
              </w:rPr>
            </w:pPr>
          </w:p>
        </w:tc>
      </w:tr>
    </w:tbl>
    <w:p w14:paraId="39589B78" w14:textId="54A7E51C" w:rsidR="7DD0602E" w:rsidRDefault="7DD0602E"/>
    <w:p w14:paraId="4A35ED36" w14:textId="1E5CE9FF" w:rsidR="00F8551A" w:rsidRDefault="61008A16" w:rsidP="00D460C9">
      <w:pPr>
        <w:pStyle w:val="Paragraphnonumbers"/>
      </w:pPr>
      <w:r>
        <w:t xml:space="preserve">* Please Note: These are indicative only of the modules normally required for </w:t>
      </w:r>
      <w:r w:rsidR="003C424A">
        <w:t>each</w:t>
      </w:r>
      <w:r>
        <w:t xml:space="preserve"> work package type. The modules </w:t>
      </w:r>
      <w:proofErr w:type="gramStart"/>
      <w:r>
        <w:t>actually required</w:t>
      </w:r>
      <w:proofErr w:type="gramEnd"/>
      <w:r>
        <w:t xml:space="preserve"> for </w:t>
      </w:r>
      <w:r w:rsidR="003C424A">
        <w:t>each</w:t>
      </w:r>
      <w:r>
        <w:t xml:space="preserve"> work package will be specified in the </w:t>
      </w:r>
      <w:r w:rsidR="7F548677">
        <w:t>I</w:t>
      </w:r>
      <w:r>
        <w:t xml:space="preserve">nstruction to </w:t>
      </w:r>
      <w:r w:rsidR="7F548677">
        <w:t>P</w:t>
      </w:r>
      <w:r>
        <w:t>roceed for that work package.</w:t>
      </w:r>
    </w:p>
    <w:p w14:paraId="34EC83C6" w14:textId="77777777" w:rsidR="00F8551A" w:rsidRDefault="00F8551A">
      <w:pPr>
        <w:spacing w:after="0" w:line="240" w:lineRule="auto"/>
        <w:rPr>
          <w:szCs w:val="24"/>
        </w:rPr>
        <w:sectPr w:rsidR="00F8551A" w:rsidSect="00C23FB3">
          <w:pgSz w:w="16839" w:h="11907" w:orient="landscape" w:code="9"/>
          <w:pgMar w:top="1440" w:right="1440" w:bottom="1440" w:left="1440" w:header="708" w:footer="708" w:gutter="0"/>
          <w:cols w:space="708"/>
          <w:docGrid w:linePitch="360"/>
        </w:sectPr>
      </w:pPr>
    </w:p>
    <w:p w14:paraId="457C0E90" w14:textId="77777777" w:rsidR="00AF2D4B" w:rsidRDefault="009C6263" w:rsidP="00065D34">
      <w:pPr>
        <w:pStyle w:val="Heading1"/>
        <w:tabs>
          <w:tab w:val="left" w:pos="284"/>
        </w:tabs>
        <w:spacing w:before="360" w:after="120" w:line="240" w:lineRule="auto"/>
        <w:ind w:left="851" w:hanging="709"/>
      </w:pPr>
      <w:bookmarkStart w:id="18" w:name="_Toc484419254"/>
      <w:bookmarkStart w:id="19" w:name="_Toc484422201"/>
      <w:bookmarkStart w:id="20" w:name="_Toc358285067"/>
      <w:bookmarkEnd w:id="18"/>
      <w:bookmarkEnd w:id="19"/>
      <w:r>
        <w:lastRenderedPageBreak/>
        <w:t>NICE’s g</w:t>
      </w:r>
      <w:r w:rsidR="00AF2D4B" w:rsidRPr="00B612C2">
        <w:t>eneral approach</w:t>
      </w:r>
      <w:bookmarkEnd w:id="20"/>
      <w:r>
        <w:t xml:space="preserve"> to the conduct of the contracts</w:t>
      </w:r>
    </w:p>
    <w:p w14:paraId="6024F14C" w14:textId="77777777" w:rsidR="00AF2D4B" w:rsidRPr="0084489E" w:rsidRDefault="00AF2D4B" w:rsidP="000E5DF3">
      <w:pPr>
        <w:pStyle w:val="Heading2"/>
        <w:spacing w:before="240" w:after="120"/>
        <w:ind w:left="709" w:hanging="709"/>
      </w:pPr>
      <w:bookmarkStart w:id="21" w:name="_Toc358285070"/>
      <w:r w:rsidRPr="008B1460">
        <w:t>Training, induction and networking</w:t>
      </w:r>
      <w:bookmarkEnd w:id="21"/>
    </w:p>
    <w:p w14:paraId="0449EC2C" w14:textId="4D3BDC38" w:rsidR="00AF2D4B" w:rsidRPr="00DD3168" w:rsidRDefault="65DB6F08" w:rsidP="4C0E2C61">
      <w:pPr>
        <w:pStyle w:val="ITTbody1"/>
        <w:tabs>
          <w:tab w:val="clear" w:pos="2835"/>
        </w:tabs>
        <w:ind w:left="720"/>
      </w:pPr>
      <w:r>
        <w:t xml:space="preserve">NICE intends to hold suitable events to ensure </w:t>
      </w:r>
      <w:r w:rsidR="62A6701D">
        <w:t>EAG</w:t>
      </w:r>
      <w:r>
        <w:t xml:space="preserve">s are well informed about the operational details of NICE’s requirements under the contract, and to enable shared learning between them. The intention is to hold </w:t>
      </w:r>
      <w:r w:rsidR="45386F93">
        <w:t xml:space="preserve">the first such </w:t>
      </w:r>
      <w:r>
        <w:t xml:space="preserve">event </w:t>
      </w:r>
      <w:r w:rsidR="3AAA1F71">
        <w:t xml:space="preserve">approximately </w:t>
      </w:r>
      <w:r>
        <w:t xml:space="preserve">12 weeks </w:t>
      </w:r>
      <w:r w:rsidR="3AAA1F71">
        <w:t xml:space="preserve">from </w:t>
      </w:r>
      <w:r>
        <w:t>the contract start date, although NICE reserves the right to revise this timescale in response to unforeseen circumstances.</w:t>
      </w:r>
    </w:p>
    <w:p w14:paraId="22F5F541" w14:textId="77777777" w:rsidR="00AF2D4B" w:rsidRPr="0084489E" w:rsidRDefault="00AF2D4B" w:rsidP="000E5DF3">
      <w:pPr>
        <w:pStyle w:val="Heading2"/>
        <w:spacing w:before="240" w:after="120"/>
        <w:ind w:left="709" w:hanging="709"/>
      </w:pPr>
      <w:bookmarkStart w:id="22" w:name="_Toc358285071"/>
      <w:r w:rsidRPr="008B1460">
        <w:t>English language evidence</w:t>
      </w:r>
      <w:bookmarkEnd w:id="22"/>
    </w:p>
    <w:p w14:paraId="50CE8AF7" w14:textId="76961946" w:rsidR="00F90499" w:rsidRPr="00DD3168" w:rsidRDefault="65DB6F08" w:rsidP="007944A3">
      <w:pPr>
        <w:pStyle w:val="ITTbody1"/>
        <w:tabs>
          <w:tab w:val="clear" w:pos="2835"/>
          <w:tab w:val="left" w:pos="709"/>
        </w:tabs>
        <w:ind w:left="709" w:firstLine="11"/>
      </w:pPr>
      <w:r>
        <w:t>NICE anticipates that products delivered under this specification will normally be based on evidence published or otherwise available in English. NICE may accept the need for translation into English of pivotal evidence to inform systematic reviews or other products delivered under this specification. This would require prior agreement by NICE and the papers in question would need to be translated in full by an agency specialising in providing professional scientific translation services</w:t>
      </w:r>
      <w:r w:rsidR="0D02F4C0">
        <w:t xml:space="preserve"> who could affirm the accuracy of the translation</w:t>
      </w:r>
      <w:r>
        <w:t xml:space="preserve">. </w:t>
      </w:r>
      <w:r w:rsidR="62A6701D">
        <w:t>EAG</w:t>
      </w:r>
      <w:r>
        <w:t xml:space="preserve">s </w:t>
      </w:r>
      <w:r w:rsidR="715E89B8">
        <w:t xml:space="preserve">will meet the cost </w:t>
      </w:r>
      <w:r w:rsidR="62DF0ACE">
        <w:t xml:space="preserve">of </w:t>
      </w:r>
      <w:r w:rsidR="715E89B8">
        <w:t xml:space="preserve">translation from within the </w:t>
      </w:r>
      <w:r w:rsidR="66A24CCD">
        <w:t>relevant module cost</w:t>
      </w:r>
      <w:r>
        <w:t xml:space="preserve">.  </w:t>
      </w:r>
    </w:p>
    <w:p w14:paraId="126789A0" w14:textId="77777777" w:rsidR="000D09D1" w:rsidRPr="009F067A" w:rsidRDefault="000D09D1" w:rsidP="000E5DF3">
      <w:pPr>
        <w:pStyle w:val="Heading2"/>
        <w:spacing w:before="240" w:after="120"/>
        <w:ind w:left="709" w:hanging="567"/>
      </w:pPr>
      <w:bookmarkStart w:id="23" w:name="_Toc478022726"/>
      <w:bookmarkStart w:id="24" w:name="_Toc478026299"/>
      <w:bookmarkStart w:id="25" w:name="_Toc478026616"/>
      <w:bookmarkEnd w:id="23"/>
      <w:bookmarkEnd w:id="24"/>
      <w:bookmarkEnd w:id="25"/>
      <w:r>
        <w:t>Stakeholder engagement</w:t>
      </w:r>
    </w:p>
    <w:p w14:paraId="02F356DD" w14:textId="364B219B" w:rsidR="000D09D1" w:rsidRPr="008B18AE" w:rsidRDefault="3E981CF2" w:rsidP="007944A3">
      <w:pPr>
        <w:pStyle w:val="ITTbody1"/>
        <w:tabs>
          <w:tab w:val="clear" w:pos="2835"/>
          <w:tab w:val="left" w:pos="709"/>
        </w:tabs>
        <w:ind w:left="709" w:firstLine="11"/>
      </w:pPr>
      <w:r>
        <w:t xml:space="preserve">NICE requires formal liaison and situational awareness updates with third parties who might influence the activities of NICE or the </w:t>
      </w:r>
      <w:r w:rsidR="6FE1EAA0">
        <w:t>EAG</w:t>
      </w:r>
      <w:r>
        <w:t xml:space="preserve">. Such parties would include grant funders, regulatory bodies, and </w:t>
      </w:r>
      <w:r w:rsidR="781694E4">
        <w:t>companies</w:t>
      </w:r>
      <w:r>
        <w:t xml:space="preserve">. The </w:t>
      </w:r>
      <w:r w:rsidR="6FE1EAA0">
        <w:t>EAG</w:t>
      </w:r>
      <w:r>
        <w:t xml:space="preserve"> would act as a representative of NICE at such meetings</w:t>
      </w:r>
      <w:r w:rsidR="29C2FD9E">
        <w:t>, which could arise under any work package</w:t>
      </w:r>
      <w:r>
        <w:t xml:space="preserve">. NICE may occasionally ask </w:t>
      </w:r>
      <w:r w:rsidR="6FE1EAA0">
        <w:t>EAG</w:t>
      </w:r>
      <w:r>
        <w:t>s to attend events, workshops or conferences and provide a summary report, at no additional cost to NICE.</w:t>
      </w:r>
    </w:p>
    <w:p w14:paraId="1A73EA85" w14:textId="33466C26" w:rsidR="0097558C" w:rsidRDefault="009C6263" w:rsidP="00B15EC9">
      <w:pPr>
        <w:pStyle w:val="Heading1"/>
        <w:tabs>
          <w:tab w:val="left" w:pos="284"/>
        </w:tabs>
        <w:spacing w:before="360" w:after="120" w:line="240" w:lineRule="auto"/>
        <w:ind w:left="709" w:hanging="567"/>
      </w:pPr>
      <w:bookmarkStart w:id="26" w:name="_Toc484419263"/>
      <w:bookmarkStart w:id="27" w:name="_Toc484422210"/>
      <w:bookmarkStart w:id="28" w:name="_Toc483313613"/>
      <w:bookmarkStart w:id="29" w:name="_Toc484419264"/>
      <w:bookmarkStart w:id="30" w:name="_Toc484422211"/>
      <w:bookmarkStart w:id="31" w:name="_Toc483313614"/>
      <w:bookmarkStart w:id="32" w:name="_Toc484419265"/>
      <w:bookmarkStart w:id="33" w:name="_Toc484422212"/>
      <w:bookmarkStart w:id="34" w:name="_Toc478022729"/>
      <w:bookmarkStart w:id="35" w:name="_Toc478026302"/>
      <w:bookmarkStart w:id="36" w:name="_Toc478026619"/>
      <w:bookmarkStart w:id="37" w:name="_Toc355625165"/>
      <w:bookmarkStart w:id="38" w:name="_Toc355625258"/>
      <w:bookmarkStart w:id="39" w:name="_Toc355700651"/>
      <w:bookmarkStart w:id="40" w:name="_Toc357767427"/>
      <w:bookmarkStart w:id="41" w:name="_Toc358279832"/>
      <w:bookmarkStart w:id="42" w:name="_Toc358281530"/>
      <w:bookmarkStart w:id="43" w:name="_Toc269224525"/>
      <w:bookmarkStart w:id="44" w:name="_Toc269230858"/>
      <w:bookmarkStart w:id="45" w:name="_Toc35828507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Detailed requirements</w:t>
      </w:r>
      <w:r w:rsidR="00CA5120">
        <w:t xml:space="preserve"> specification</w:t>
      </w:r>
      <w:r>
        <w:t xml:space="preserve"> for work packages</w:t>
      </w:r>
    </w:p>
    <w:p w14:paraId="4EFCE451" w14:textId="1ABB4DEF" w:rsidR="00CE73E9" w:rsidRPr="00086B52" w:rsidRDefault="564122AA" w:rsidP="007944A3">
      <w:pPr>
        <w:pStyle w:val="ITTbody1"/>
        <w:tabs>
          <w:tab w:val="clear" w:pos="2835"/>
          <w:tab w:val="left" w:pos="709"/>
        </w:tabs>
        <w:ind w:left="709" w:firstLine="11"/>
      </w:pPr>
      <w:r>
        <w:t xml:space="preserve">This section describes NICE’s detailed requirements under the </w:t>
      </w:r>
      <w:r w:rsidR="25F7E8F8">
        <w:t>3</w:t>
      </w:r>
      <w:r>
        <w:t xml:space="preserve"> </w:t>
      </w:r>
      <w:r w:rsidR="18BA52DE">
        <w:t>L</w:t>
      </w:r>
      <w:r>
        <w:t xml:space="preserve">ots in relation to the main programmes listed at section </w:t>
      </w:r>
      <w:r w:rsidR="00CE73E9" w:rsidRPr="00B15EC9">
        <w:fldChar w:fldCharType="begin"/>
      </w:r>
      <w:r w:rsidR="00CE73E9">
        <w:instrText xml:space="preserve"> REF _Ref484188823 \r \p \h  \* MERGEFORMAT </w:instrText>
      </w:r>
      <w:r w:rsidR="00CE73E9" w:rsidRPr="00B15EC9">
        <w:fldChar w:fldCharType="separate"/>
      </w:r>
      <w:r w:rsidR="296FAE19">
        <w:t>1 above</w:t>
      </w:r>
      <w:r w:rsidR="00CE73E9" w:rsidRPr="00B15EC9">
        <w:fldChar w:fldCharType="end"/>
      </w:r>
      <w:r>
        <w:t>.</w:t>
      </w:r>
    </w:p>
    <w:p w14:paraId="6214A929" w14:textId="56FF438F" w:rsidR="02C42955" w:rsidRDefault="02C42955" w:rsidP="1F3C3008">
      <w:pPr>
        <w:pStyle w:val="ITTbody1"/>
        <w:ind w:left="0"/>
      </w:pPr>
    </w:p>
    <w:p w14:paraId="65F76D25" w14:textId="77777777" w:rsidR="001625F9" w:rsidRDefault="001625F9" w:rsidP="00B15EC9">
      <w:pPr>
        <w:pStyle w:val="Heading2"/>
        <w:spacing w:before="240" w:after="120"/>
        <w:ind w:left="709" w:hanging="567"/>
      </w:pPr>
      <w:r>
        <w:t xml:space="preserve">Modular approach </w:t>
      </w:r>
    </w:p>
    <w:p w14:paraId="602308FE" w14:textId="4AFBFF77" w:rsidR="001625F9" w:rsidRDefault="390FA98C" w:rsidP="007944A3">
      <w:pPr>
        <w:pStyle w:val="ITTbody1"/>
        <w:tabs>
          <w:tab w:val="clear" w:pos="2835"/>
          <w:tab w:val="left" w:pos="709"/>
        </w:tabs>
        <w:ind w:left="709" w:firstLine="11"/>
      </w:pPr>
      <w:r>
        <w:t>NICE is taking a modular approach to the specification</w:t>
      </w:r>
      <w:r w:rsidR="579A8B8A">
        <w:t xml:space="preserve"> and delivery of the contracts</w:t>
      </w:r>
      <w:r>
        <w:t xml:space="preserve">. This is because there are some </w:t>
      </w:r>
      <w:r w:rsidR="67701D2F">
        <w:t xml:space="preserve">standard </w:t>
      </w:r>
      <w:r w:rsidR="6FE1EAA0">
        <w:t>EAG</w:t>
      </w:r>
      <w:r>
        <w:t xml:space="preserve"> activities</w:t>
      </w:r>
      <w:r w:rsidR="579A8B8A">
        <w:t xml:space="preserve"> and outputs</w:t>
      </w:r>
      <w:r>
        <w:t xml:space="preserve"> that are required </w:t>
      </w:r>
      <w:r w:rsidR="5CD95573">
        <w:t xml:space="preserve">across a </w:t>
      </w:r>
      <w:r w:rsidR="579A8B8A">
        <w:t>variety</w:t>
      </w:r>
      <w:r w:rsidR="5CD95573">
        <w:t xml:space="preserve"> of</w:t>
      </w:r>
      <w:r w:rsidR="579A8B8A">
        <w:t xml:space="preserve"> NICE’s</w:t>
      </w:r>
      <w:r w:rsidR="5B3006D1">
        <w:t xml:space="preserve"> </w:t>
      </w:r>
      <w:r>
        <w:t xml:space="preserve">programme activities.  </w:t>
      </w:r>
    </w:p>
    <w:p w14:paraId="48C22C6A" w14:textId="6E47B3CC" w:rsidR="008E2DF2" w:rsidRDefault="390FA98C" w:rsidP="007944A3">
      <w:pPr>
        <w:pStyle w:val="ITTbody1"/>
        <w:tabs>
          <w:tab w:val="clear" w:pos="2835"/>
          <w:tab w:val="left" w:pos="709"/>
        </w:tabs>
        <w:ind w:left="709" w:firstLine="11"/>
      </w:pPr>
      <w:r>
        <w:t xml:space="preserve">The modules are a combination of </w:t>
      </w:r>
      <w:r w:rsidR="6FE1EAA0">
        <w:t>EAG</w:t>
      </w:r>
      <w:r>
        <w:t xml:space="preserve"> activities and outputs. When</w:t>
      </w:r>
      <w:r w:rsidR="29C2FD9E">
        <w:t xml:space="preserve"> a</w:t>
      </w:r>
      <w:r>
        <w:t xml:space="preserve"> work</w:t>
      </w:r>
      <w:r w:rsidR="29C2FD9E">
        <w:t xml:space="preserve"> package</w:t>
      </w:r>
      <w:r>
        <w:t xml:space="preserve"> is allocated to the </w:t>
      </w:r>
      <w:r w:rsidR="6FE1EAA0">
        <w:t>EAG</w:t>
      </w:r>
      <w:r>
        <w:t xml:space="preserve">s, NICE uses standard documentation for </w:t>
      </w:r>
      <w:r w:rsidR="4A8F0A6A">
        <w:t>each</w:t>
      </w:r>
      <w:r>
        <w:t xml:space="preserve"> module, which sets out the context, and specifies the activities and </w:t>
      </w:r>
      <w:r>
        <w:lastRenderedPageBreak/>
        <w:t xml:space="preserve">deliverables required of the </w:t>
      </w:r>
      <w:r w:rsidR="6FE1EAA0">
        <w:t>EAG</w:t>
      </w:r>
      <w:r>
        <w:t xml:space="preserve">, and timelines for these. Some </w:t>
      </w:r>
      <w:r w:rsidR="29C2FD9E">
        <w:t xml:space="preserve">work packages </w:t>
      </w:r>
      <w:r>
        <w:t xml:space="preserve">will require the </w:t>
      </w:r>
      <w:r w:rsidR="6FE1EAA0">
        <w:t>EAG</w:t>
      </w:r>
      <w:r>
        <w:t xml:space="preserve"> to complete more than 1 module as standard.  </w:t>
      </w:r>
    </w:p>
    <w:p w14:paraId="601681C5" w14:textId="0209F8E4" w:rsidR="001625F9" w:rsidRDefault="390FA98C" w:rsidP="007944A3">
      <w:pPr>
        <w:pStyle w:val="ITTbody1"/>
        <w:tabs>
          <w:tab w:val="clear" w:pos="2835"/>
          <w:tab w:val="left" w:pos="709"/>
        </w:tabs>
        <w:ind w:left="709" w:firstLine="11"/>
      </w:pPr>
      <w:r>
        <w:t>The modular approach is aimed towards standardising the work delivered under the contracts where possible</w:t>
      </w:r>
      <w:r w:rsidR="5B3006D1">
        <w:t>. It will also</w:t>
      </w:r>
      <w:r>
        <w:t xml:space="preserve"> </w:t>
      </w:r>
      <w:r w:rsidR="5B3006D1">
        <w:t xml:space="preserve">allow </w:t>
      </w:r>
      <w:r w:rsidR="6FE1EAA0">
        <w:t>EAG</w:t>
      </w:r>
      <w:r w:rsidR="5B3006D1">
        <w:t>s to</w:t>
      </w:r>
      <w:r>
        <w:t xml:space="preserve"> collaborat</w:t>
      </w:r>
      <w:r w:rsidR="5B3006D1">
        <w:t>e easily by distributing modules between partners</w:t>
      </w:r>
      <w:r w:rsidR="67007CD4">
        <w:t xml:space="preserve"> where a</w:t>
      </w:r>
      <w:r w:rsidR="007D4E9F">
        <w:t>n</w:t>
      </w:r>
      <w:r w:rsidR="67007CD4">
        <w:t xml:space="preserve"> </w:t>
      </w:r>
      <w:r w:rsidR="4BB1FDA5">
        <w:t>EAG</w:t>
      </w:r>
      <w:r w:rsidR="67007CD4">
        <w:t xml:space="preserve"> is provided by more than one organisation with different specialisms</w:t>
      </w:r>
      <w:r w:rsidR="5B3006D1">
        <w:t xml:space="preserve">. </w:t>
      </w:r>
      <w:r w:rsidR="29C2FD9E">
        <w:t xml:space="preserve">NICE would expect the </w:t>
      </w:r>
      <w:r w:rsidR="6FE1EAA0">
        <w:t>EAG</w:t>
      </w:r>
      <w:r w:rsidR="29C2FD9E">
        <w:t xml:space="preserve"> to carry out any required distribution of modules under its own internal processes.</w:t>
      </w:r>
    </w:p>
    <w:p w14:paraId="50B13EE4" w14:textId="64FC5A34" w:rsidR="001625F9" w:rsidRPr="000F5867" w:rsidRDefault="75A6078E" w:rsidP="007944A3">
      <w:pPr>
        <w:pStyle w:val="ITTbody1"/>
        <w:tabs>
          <w:tab w:val="clear" w:pos="2835"/>
          <w:tab w:val="left" w:pos="709"/>
        </w:tabs>
        <w:ind w:left="709" w:firstLine="11"/>
      </w:pPr>
      <w:r>
        <w:t>A complete list of the modules and the</w:t>
      </w:r>
      <w:r w:rsidR="463634D9">
        <w:t xml:space="preserve"> </w:t>
      </w:r>
      <w:r w:rsidR="5EC36A20">
        <w:t>L</w:t>
      </w:r>
      <w:r>
        <w:t>ots they</w:t>
      </w:r>
      <w:r w:rsidR="3E2930A9">
        <w:t xml:space="preserve"> </w:t>
      </w:r>
      <w:r>
        <w:t xml:space="preserve">feature in is at </w:t>
      </w:r>
      <w:r w:rsidR="2FDE4B99">
        <w:t>Table 1</w:t>
      </w:r>
      <w:r w:rsidR="463634D9">
        <w:t>, with the work packages they normally relate to</w:t>
      </w:r>
      <w:r>
        <w:t>.</w:t>
      </w:r>
    </w:p>
    <w:p w14:paraId="700F4D11" w14:textId="0078B1E2" w:rsidR="00B5468A" w:rsidRPr="00F86A02" w:rsidRDefault="6F432437" w:rsidP="00FC0604">
      <w:pPr>
        <w:pStyle w:val="Heading2"/>
        <w:spacing w:before="240" w:after="120"/>
        <w:ind w:left="709" w:hanging="567"/>
      </w:pPr>
      <w:bookmarkStart w:id="46" w:name="_Toc484419278"/>
      <w:bookmarkStart w:id="47" w:name="_Toc484422225"/>
      <w:bookmarkStart w:id="48" w:name="_Toc483313633"/>
      <w:bookmarkStart w:id="49" w:name="_Toc484419286"/>
      <w:bookmarkStart w:id="50" w:name="_Toc484422233"/>
      <w:bookmarkStart w:id="51" w:name="_Toc484422256"/>
      <w:bookmarkStart w:id="52" w:name="_Toc483313657"/>
      <w:bookmarkStart w:id="53" w:name="_Toc484419311"/>
      <w:bookmarkStart w:id="54" w:name="_Toc484422257"/>
      <w:bookmarkStart w:id="55" w:name="_Toc483313659"/>
      <w:bookmarkStart w:id="56" w:name="_Toc484419313"/>
      <w:bookmarkStart w:id="57" w:name="_Toc484422259"/>
      <w:bookmarkStart w:id="58" w:name="_Toc483313661"/>
      <w:bookmarkStart w:id="59" w:name="_Toc484419315"/>
      <w:bookmarkStart w:id="60" w:name="_Toc484422261"/>
      <w:bookmarkStart w:id="61" w:name="_Ref270063247"/>
      <w:bookmarkStart w:id="62" w:name="_Toc358285092"/>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 xml:space="preserve">Attributes required by the </w:t>
      </w:r>
      <w:bookmarkEnd w:id="61"/>
      <w:bookmarkEnd w:id="62"/>
      <w:r w:rsidR="62A6701D">
        <w:t>EAG</w:t>
      </w:r>
      <w:r w:rsidR="48806E8E">
        <w:t>s</w:t>
      </w:r>
    </w:p>
    <w:p w14:paraId="160C708D" w14:textId="260CD730" w:rsidR="00B5468A" w:rsidRDefault="08D92D8D">
      <w:pPr>
        <w:pStyle w:val="ITTbody1"/>
        <w:tabs>
          <w:tab w:val="clear" w:pos="2835"/>
          <w:tab w:val="left" w:pos="709"/>
        </w:tabs>
        <w:ind w:left="709" w:firstLine="11"/>
      </w:pPr>
      <w:r>
        <w:t xml:space="preserve">The following are a list of the main attributes required by the </w:t>
      </w:r>
      <w:r w:rsidR="6FE1EAA0">
        <w:t>EAG</w:t>
      </w:r>
      <w:r>
        <w:t xml:space="preserve">s to deliver the services set out </w:t>
      </w:r>
      <w:r w:rsidR="4175E26E">
        <w:t xml:space="preserve">the specification documents specific to </w:t>
      </w:r>
      <w:r w:rsidR="17DB3D70">
        <w:t>each</w:t>
      </w:r>
      <w:r w:rsidR="4175E26E">
        <w:t xml:space="preserve"> Lot</w:t>
      </w:r>
      <w:r>
        <w:t xml:space="preserve">. Details of the information that will be required under these headings to substantiate proposals from </w:t>
      </w:r>
      <w:r w:rsidR="72686C91">
        <w:t>suppliers</w:t>
      </w:r>
      <w:r>
        <w:t xml:space="preserve"> wishing to provide the </w:t>
      </w:r>
      <w:r w:rsidR="3A4EFA59">
        <w:t>external assessment group</w:t>
      </w:r>
      <w:r>
        <w:t xml:space="preserve"> service to NICE are set out in </w:t>
      </w:r>
      <w:r w:rsidR="03045C78">
        <w:t>the</w:t>
      </w:r>
      <w:r w:rsidR="6C380F92">
        <w:t xml:space="preserve"> tender </w:t>
      </w:r>
      <w:r w:rsidR="03045C78">
        <w:t>document</w:t>
      </w:r>
      <w:r w:rsidR="6C380F92">
        <w:t>s</w:t>
      </w:r>
      <w:r>
        <w:t xml:space="preserve">.  </w:t>
      </w:r>
    </w:p>
    <w:p w14:paraId="603184D5" w14:textId="758935DF" w:rsidR="00E751B3" w:rsidRPr="00DD3168" w:rsidRDefault="46040959" w:rsidP="3BF7A29E">
      <w:pPr>
        <w:pStyle w:val="ITTbody1"/>
        <w:tabs>
          <w:tab w:val="clear" w:pos="2835"/>
          <w:tab w:val="left" w:pos="709"/>
        </w:tabs>
        <w:ind w:left="709" w:firstLine="11"/>
      </w:pPr>
      <w:r>
        <w:t xml:space="preserve">Not </w:t>
      </w:r>
      <w:proofErr w:type="gramStart"/>
      <w:r>
        <w:t xml:space="preserve">all </w:t>
      </w:r>
      <w:r w:rsidR="19610991">
        <w:t>of</w:t>
      </w:r>
      <w:proofErr w:type="gramEnd"/>
      <w:r w:rsidR="19610991">
        <w:t xml:space="preserve"> the </w:t>
      </w:r>
      <w:r>
        <w:t xml:space="preserve">attributes are required </w:t>
      </w:r>
      <w:r w:rsidR="19610991">
        <w:t>for</w:t>
      </w:r>
      <w:r>
        <w:t xml:space="preserve"> all </w:t>
      </w:r>
      <w:r w:rsidR="4531C457">
        <w:t>L</w:t>
      </w:r>
      <w:r>
        <w:t>ots.</w:t>
      </w:r>
    </w:p>
    <w:p w14:paraId="76468FEF" w14:textId="2BE49AAF" w:rsidR="00B5468A" w:rsidRPr="00DD3168" w:rsidRDefault="3A939740" w:rsidP="3BF7A29E">
      <w:pPr>
        <w:pStyle w:val="ITTbody1"/>
        <w:tabs>
          <w:tab w:val="clear" w:pos="2835"/>
          <w:tab w:val="left" w:pos="709"/>
        </w:tabs>
        <w:ind w:left="709" w:firstLine="11"/>
      </w:pPr>
      <w:r w:rsidRPr="00DD3168">
        <w:t xml:space="preserve">A set of selection criteria, which are the most important of the following summarised criteria (along with the weightings that will apply at selection) are </w:t>
      </w:r>
      <w:r w:rsidR="3D29B3A0">
        <w:t>detailed in the Instruction and Guidance Document</w:t>
      </w:r>
      <w:r w:rsidRPr="00DD3168">
        <w:t>.</w:t>
      </w:r>
    </w:p>
    <w:p w14:paraId="0C0CC54E" w14:textId="77777777" w:rsidR="00B5468A" w:rsidRPr="00C30D7A" w:rsidRDefault="310DC8E6" w:rsidP="00C30D7A">
      <w:pPr>
        <w:pStyle w:val="Heading2"/>
        <w:spacing w:before="240" w:after="120"/>
        <w:ind w:left="709" w:hanging="567"/>
      </w:pPr>
      <w:bookmarkStart w:id="63" w:name="_Toc358285093"/>
      <w:r w:rsidRPr="00C30D7A">
        <w:t>Organisational and financial robustness and stability</w:t>
      </w:r>
      <w:bookmarkEnd w:id="63"/>
      <w:r w:rsidRPr="00C30D7A">
        <w:t xml:space="preserve"> </w:t>
      </w:r>
    </w:p>
    <w:p w14:paraId="60F9F004" w14:textId="10DFD4D9" w:rsidR="00B5468A" w:rsidRPr="00DD3168" w:rsidRDefault="08D92D8D" w:rsidP="007944A3">
      <w:pPr>
        <w:pStyle w:val="ITTbody1"/>
        <w:tabs>
          <w:tab w:val="clear" w:pos="2835"/>
          <w:tab w:val="left" w:pos="709"/>
        </w:tabs>
        <w:ind w:left="709" w:firstLine="11"/>
      </w:pPr>
      <w:r>
        <w:t xml:space="preserve">The </w:t>
      </w:r>
      <w:r w:rsidR="6FE1EAA0">
        <w:t>EAG</w:t>
      </w:r>
      <w:r>
        <w:t xml:space="preserve"> should be based in a credible organisation and, where it is networked with other organisations, there should be evidence that the networking arrangements are robust. The contractual relationship will be between NICE and the lead organisation for the lifetime of the contract. </w:t>
      </w:r>
      <w:r w:rsidR="34A1B070">
        <w:t>T</w:t>
      </w:r>
      <w:r>
        <w:t xml:space="preserve">he lead organisation will be responsible for all deliverables and for the quality of all work carried out by itself and any partners, subcontractors or network members. NICE requires offers to be fully supported by the Chief Executive(s) (or equivalent for HEIs) of the host organisation(s), and for that support to be indicated in the offer. Their support should include confirmation of which is the lead organisation.  </w:t>
      </w:r>
    </w:p>
    <w:p w14:paraId="6F79A982" w14:textId="77777777" w:rsidR="00B5468A" w:rsidRPr="00A05AED" w:rsidRDefault="310DC8E6" w:rsidP="00A05AED">
      <w:pPr>
        <w:pStyle w:val="Heading2"/>
        <w:spacing w:before="240" w:after="120"/>
        <w:ind w:left="709" w:hanging="567"/>
      </w:pPr>
      <w:bookmarkStart w:id="64" w:name="_Toc358285094"/>
      <w:bookmarkStart w:id="65" w:name="_Toc478022683"/>
      <w:r w:rsidRPr="00A05AED">
        <w:t>Project planning capabilities</w:t>
      </w:r>
      <w:bookmarkEnd w:id="64"/>
      <w:bookmarkEnd w:id="65"/>
      <w:r w:rsidRPr="00A05AED">
        <w:t xml:space="preserve"> </w:t>
      </w:r>
    </w:p>
    <w:p w14:paraId="2968DB30" w14:textId="2729AE2B" w:rsidR="00B5468A" w:rsidRPr="00DD3168" w:rsidRDefault="4932E56A" w:rsidP="007944A3">
      <w:pPr>
        <w:pStyle w:val="ITTbody1"/>
        <w:tabs>
          <w:tab w:val="clear" w:pos="2835"/>
          <w:tab w:val="left" w:pos="709"/>
        </w:tabs>
        <w:ind w:left="709" w:firstLine="11"/>
      </w:pPr>
      <w:r>
        <w:t xml:space="preserve">For services under any or all </w:t>
      </w:r>
      <w:r w:rsidR="5AD30755">
        <w:t>L</w:t>
      </w:r>
      <w:r>
        <w:t>ots, t</w:t>
      </w:r>
      <w:r w:rsidR="3F4E4622">
        <w:t xml:space="preserve">he </w:t>
      </w:r>
      <w:r w:rsidR="6FE1EAA0">
        <w:t>EAG</w:t>
      </w:r>
      <w:r w:rsidR="3F4E4622">
        <w:t xml:space="preserve"> should demonstrate that it has robust project and performance management systems in place, particularly where the </w:t>
      </w:r>
      <w:r w:rsidR="6FE1EAA0">
        <w:t>EAG</w:t>
      </w:r>
      <w:r w:rsidR="3F4E4622">
        <w:t xml:space="preserve"> is provided by a lead organisation working in conjunction with other organisations. </w:t>
      </w:r>
      <w:r w:rsidR="6FE1EAA0">
        <w:t>EAG</w:t>
      </w:r>
      <w:r w:rsidR="3F4E4622">
        <w:t xml:space="preserve">s’ operational networking arrangements must have a project lead who acts as the single point of liaison with NICE for </w:t>
      </w:r>
      <w:r w:rsidR="3A936EE1">
        <w:t>eac</w:t>
      </w:r>
      <w:r w:rsidR="3F4E4622">
        <w:t xml:space="preserve">h allocated work </w:t>
      </w:r>
      <w:r w:rsidR="64256836">
        <w:t>package and</w:t>
      </w:r>
      <w:r w:rsidR="3F4E4622">
        <w:t xml:space="preserve"> takes responsibility for delivery of the work package to the required timescale</w:t>
      </w:r>
      <w:r w:rsidR="4BA8E85B">
        <w:t>, cost</w:t>
      </w:r>
      <w:r w:rsidR="3F4E4622">
        <w:t xml:space="preserve"> and quality.</w:t>
      </w:r>
    </w:p>
    <w:p w14:paraId="36AD76C3" w14:textId="68CF6585" w:rsidR="00B5468A" w:rsidRPr="00DD3168" w:rsidRDefault="413F8AD4" w:rsidP="007944A3">
      <w:pPr>
        <w:pStyle w:val="ITTbody1"/>
        <w:tabs>
          <w:tab w:val="clear" w:pos="2835"/>
          <w:tab w:val="left" w:pos="709"/>
        </w:tabs>
        <w:ind w:left="709" w:firstLine="11"/>
      </w:pPr>
      <w:r>
        <w:t xml:space="preserve">Where two or more organisations are applying in consortium, a lead organisation and a written partnership agreement/memorandum of understanding must be agreed, prior to the offer, by all partners. The lead organisation will be responsible for initial and ongoing contract management </w:t>
      </w:r>
      <w:r>
        <w:lastRenderedPageBreak/>
        <w:t>negotiations with NICE.</w:t>
      </w:r>
      <w:r w:rsidR="49A1704E">
        <w:t xml:space="preserve"> The lead organisation should provide a single </w:t>
      </w:r>
      <w:r w:rsidR="227B9C2C">
        <w:t>project lead responsible for the delivery of work packages, even where these are carried out by another organisation in the consortium.</w:t>
      </w:r>
    </w:p>
    <w:p w14:paraId="7CA34BEE" w14:textId="0338E4BF" w:rsidR="02C42955" w:rsidRDefault="02C42955" w:rsidP="02C42955">
      <w:pPr>
        <w:pStyle w:val="ITTbody1"/>
      </w:pPr>
    </w:p>
    <w:p w14:paraId="37B1E4C4" w14:textId="77777777" w:rsidR="00B5468A" w:rsidRPr="00240625" w:rsidRDefault="310DC8E6" w:rsidP="00240625">
      <w:pPr>
        <w:pStyle w:val="Heading2"/>
        <w:spacing w:before="240" w:after="120"/>
        <w:ind w:left="709" w:hanging="567"/>
      </w:pPr>
      <w:bookmarkStart w:id="66" w:name="_Toc358285095"/>
      <w:bookmarkStart w:id="67" w:name="_Toc478022684"/>
      <w:r w:rsidRPr="00240625">
        <w:t>General expertise</w:t>
      </w:r>
      <w:bookmarkEnd w:id="66"/>
      <w:bookmarkEnd w:id="67"/>
    </w:p>
    <w:p w14:paraId="3EA20972" w14:textId="21EE879F" w:rsidR="00B5468A" w:rsidRPr="00DD3168" w:rsidRDefault="721C573C" w:rsidP="007944A3">
      <w:pPr>
        <w:pStyle w:val="ITTbody1"/>
        <w:tabs>
          <w:tab w:val="clear" w:pos="2835"/>
          <w:tab w:val="left" w:pos="709"/>
        </w:tabs>
        <w:ind w:left="709" w:firstLine="11"/>
      </w:pPr>
      <w:r>
        <w:t xml:space="preserve">For services under any or all </w:t>
      </w:r>
      <w:r w:rsidR="7028EC3A">
        <w:t>L</w:t>
      </w:r>
      <w:r>
        <w:t xml:space="preserve">ots, the </w:t>
      </w:r>
      <w:r w:rsidR="6FE1EAA0">
        <w:t>EAG</w:t>
      </w:r>
      <w:r w:rsidR="08D92D8D">
        <w:t xml:space="preserve"> should be led by one or more Directors who hold a position as a chair/senior lecturer or business equivalent. </w:t>
      </w:r>
      <w:r w:rsidR="126B90A4">
        <w:t xml:space="preserve">The </w:t>
      </w:r>
      <w:r w:rsidR="6FE1EAA0">
        <w:t>EAG</w:t>
      </w:r>
      <w:r w:rsidR="126B90A4">
        <w:t xml:space="preserve"> </w:t>
      </w:r>
      <w:r w:rsidR="08D92D8D">
        <w:t>should have expert knowledge of the main legislation surrounding the development and regulation of medical/diagnostic devices and tests</w:t>
      </w:r>
      <w:r w:rsidR="2868E1DA">
        <w:t xml:space="preserve"> and </w:t>
      </w:r>
      <w:r w:rsidR="488F632A">
        <w:t>medicines</w:t>
      </w:r>
      <w:r w:rsidR="08D92D8D">
        <w:t xml:space="preserve">, including research, and of the business environment </w:t>
      </w:r>
      <w:r w:rsidR="2868E1DA">
        <w:t>of the life sciences industry</w:t>
      </w:r>
      <w:r w:rsidR="08D92D8D">
        <w:t xml:space="preserve">. Where more than one organisation </w:t>
      </w:r>
      <w:r w:rsidR="45881532">
        <w:t xml:space="preserve">is </w:t>
      </w:r>
      <w:r w:rsidR="08D92D8D">
        <w:t xml:space="preserve">applying as a single centre, the lead organisation will be responsible for governance across the consortium or partners.  </w:t>
      </w:r>
    </w:p>
    <w:p w14:paraId="695136E0" w14:textId="77777777" w:rsidR="00B5468A" w:rsidRPr="00257281" w:rsidRDefault="310DC8E6" w:rsidP="00BC1E9C">
      <w:pPr>
        <w:pStyle w:val="Heading3"/>
        <w:ind w:left="709" w:hanging="567"/>
        <w:rPr>
          <w:sz w:val="24"/>
          <w:szCs w:val="24"/>
        </w:rPr>
      </w:pPr>
      <w:bookmarkStart w:id="68" w:name="_Toc358285096"/>
      <w:bookmarkStart w:id="69" w:name="_Toc478022685"/>
      <w:r w:rsidRPr="00257281">
        <w:rPr>
          <w:sz w:val="24"/>
          <w:szCs w:val="24"/>
        </w:rPr>
        <w:t>Expertise in Health Technology Assessment (HTA) disciplines</w:t>
      </w:r>
      <w:bookmarkEnd w:id="68"/>
      <w:bookmarkEnd w:id="69"/>
    </w:p>
    <w:p w14:paraId="6BB30EC2" w14:textId="56D59E4D" w:rsidR="00B5468A" w:rsidRPr="00DD3168" w:rsidRDefault="3D3309B2" w:rsidP="3BF7A29E">
      <w:pPr>
        <w:pStyle w:val="ITTbody1"/>
        <w:tabs>
          <w:tab w:val="clear" w:pos="2835"/>
          <w:tab w:val="left" w:pos="709"/>
        </w:tabs>
        <w:ind w:left="709" w:firstLine="11"/>
      </w:pPr>
      <w:r>
        <w:t>For Lots</w:t>
      </w:r>
      <w:r w:rsidR="4C92889E">
        <w:t xml:space="preserve"> involving HTA disciplines</w:t>
      </w:r>
      <w:r>
        <w:t xml:space="preserve">, </w:t>
      </w:r>
      <w:r w:rsidR="6FE1EAA0">
        <w:t>EAG</w:t>
      </w:r>
      <w:r>
        <w:t>s</w:t>
      </w:r>
      <w:r w:rsidR="08D92D8D">
        <w:t xml:space="preserve"> should be able to provide senior level expertise across the </w:t>
      </w:r>
      <w:r w:rsidR="101467EA">
        <w:t xml:space="preserve">standard </w:t>
      </w:r>
      <w:r w:rsidR="08D92D8D">
        <w:t>range of HTA disciplines including systematic reviewing, economic modelling, advanced economic modelling, medical statistics and research design.</w:t>
      </w:r>
      <w:r w:rsidR="06DB2C29">
        <w:t xml:space="preserve"> </w:t>
      </w:r>
      <w:r w:rsidR="7C2BA3EF">
        <w:t>For Lot 2 t</w:t>
      </w:r>
      <w:r w:rsidR="06DB2C29">
        <w:t xml:space="preserve">he </w:t>
      </w:r>
      <w:r w:rsidR="6FE1EAA0">
        <w:t>EAG</w:t>
      </w:r>
      <w:r w:rsidR="06DB2C29">
        <w:t xml:space="preserve"> should have experience of developing, testing and implementing new methods within these fields.  </w:t>
      </w:r>
      <w:r w:rsidR="08D92D8D">
        <w:t xml:space="preserve">  </w:t>
      </w:r>
    </w:p>
    <w:p w14:paraId="58ACEB38" w14:textId="4DD474EA" w:rsidR="00DB4DD7" w:rsidRPr="008E4651" w:rsidRDefault="00DB4DD7" w:rsidP="00DB4DD7">
      <w:pPr>
        <w:pStyle w:val="Heading3"/>
        <w:rPr>
          <w:b w:val="0"/>
          <w:bCs w:val="0"/>
          <w:sz w:val="24"/>
          <w:szCs w:val="24"/>
        </w:rPr>
      </w:pPr>
      <w:r w:rsidRPr="008E4651">
        <w:rPr>
          <w:sz w:val="24"/>
          <w:szCs w:val="24"/>
        </w:rPr>
        <w:t>Quality Assurance Processes</w:t>
      </w:r>
    </w:p>
    <w:p w14:paraId="7D649E26" w14:textId="5747002A" w:rsidR="00CB20D0" w:rsidRDefault="27FBFAC3" w:rsidP="007944A3">
      <w:pPr>
        <w:pStyle w:val="ITTbody1"/>
        <w:tabs>
          <w:tab w:val="clear" w:pos="2835"/>
        </w:tabs>
        <w:ind w:left="709"/>
      </w:pPr>
      <w:r>
        <w:t>The EAG</w:t>
      </w:r>
      <w:r w:rsidR="7445365B">
        <w:t xml:space="preserve"> </w:t>
      </w:r>
      <w:r w:rsidR="204A1054">
        <w:t xml:space="preserve">will need to demonstrate robust </w:t>
      </w:r>
      <w:r w:rsidR="2E816E09">
        <w:t>quality assurance procedures for work produced for</w:t>
      </w:r>
      <w:r w:rsidR="6E4427D9">
        <w:t>,</w:t>
      </w:r>
      <w:r w:rsidR="2E816E09">
        <w:t xml:space="preserve"> </w:t>
      </w:r>
      <w:r w:rsidR="6E4427D9">
        <w:t xml:space="preserve">and services delivered to </w:t>
      </w:r>
      <w:r w:rsidR="2E816E09">
        <w:t xml:space="preserve">NICE. </w:t>
      </w:r>
      <w:r w:rsidR="3E61520C">
        <w:t>Q</w:t>
      </w:r>
      <w:r w:rsidR="073E83C5">
        <w:t xml:space="preserve">uality assurance (QA) procedures </w:t>
      </w:r>
      <w:r w:rsidR="3E61520C">
        <w:t>should</w:t>
      </w:r>
      <w:r w:rsidR="073E83C5">
        <w:t xml:space="preserve"> ensure the accuracy, reliability, and consistency of all deliverables. At a minimum, these procedures should include formal sign-off of all outputs by a senior team member. </w:t>
      </w:r>
      <w:r w:rsidR="1A3BBFBB">
        <w:t xml:space="preserve">The </w:t>
      </w:r>
      <w:r w:rsidR="724A960A">
        <w:t>EAG</w:t>
      </w:r>
      <w:r w:rsidR="1A3BBFBB">
        <w:t xml:space="preserve"> shall deliver all outputs to a quality and standard acceptable to NICE and in adherence with NICE’s methods and processes.</w:t>
      </w:r>
    </w:p>
    <w:p w14:paraId="749FFA1F" w14:textId="59DE2F70" w:rsidR="00030CA5" w:rsidRPr="00DD3168" w:rsidRDefault="7EA96645" w:rsidP="007944A3">
      <w:pPr>
        <w:pStyle w:val="ITTbody1"/>
        <w:tabs>
          <w:tab w:val="clear" w:pos="2835"/>
        </w:tabs>
        <w:ind w:left="709"/>
      </w:pPr>
      <w:r>
        <w:t>EAGs</w:t>
      </w:r>
      <w:r w:rsidR="073E83C5">
        <w:t xml:space="preserve"> should </w:t>
      </w:r>
      <w:r w:rsidR="362402E0">
        <w:t xml:space="preserve">be prepared to </w:t>
      </w:r>
      <w:r w:rsidR="073E83C5">
        <w:t xml:space="preserve">provide evidence of their QA processes </w:t>
      </w:r>
      <w:r w:rsidR="362402E0">
        <w:t>and be able to</w:t>
      </w:r>
      <w:r w:rsidR="073E83C5">
        <w:t xml:space="preserve"> share examples of how these have been applied in past projects.</w:t>
      </w:r>
    </w:p>
    <w:p w14:paraId="6697FFF7" w14:textId="4FCC67A5" w:rsidR="00B5468A" w:rsidRPr="00DD3168" w:rsidRDefault="00B5468A" w:rsidP="02C42955">
      <w:pPr>
        <w:pStyle w:val="ITTbody1"/>
        <w:ind w:left="1162"/>
      </w:pPr>
      <w:bookmarkStart w:id="70" w:name="_Ref268447625"/>
    </w:p>
    <w:p w14:paraId="34D13813" w14:textId="14FC9ABC" w:rsidR="00B5468A" w:rsidRPr="00F86A02" w:rsidRDefault="310DC8E6" w:rsidP="00A37FF3">
      <w:pPr>
        <w:pStyle w:val="Heading2"/>
        <w:spacing w:before="240" w:after="120"/>
        <w:ind w:left="709" w:hanging="567"/>
      </w:pPr>
      <w:bookmarkStart w:id="71" w:name="_Toc358285099"/>
      <w:bookmarkStart w:id="72" w:name="_Toc478022688"/>
      <w:bookmarkEnd w:id="70"/>
      <w:r>
        <w:t>Monitoring and evaluation of contract activity and outputs</w:t>
      </w:r>
      <w:bookmarkEnd w:id="71"/>
      <w:bookmarkEnd w:id="72"/>
    </w:p>
    <w:p w14:paraId="596109FE" w14:textId="0382C3DA" w:rsidR="00B5468A" w:rsidRPr="00DD3168" w:rsidRDefault="08D92D8D" w:rsidP="007944A3">
      <w:pPr>
        <w:pStyle w:val="ITTbody1"/>
        <w:tabs>
          <w:tab w:val="clear" w:pos="2835"/>
          <w:tab w:val="left" w:pos="709"/>
        </w:tabs>
        <w:ind w:left="709" w:firstLine="11"/>
      </w:pPr>
      <w:r>
        <w:t xml:space="preserve">The performance of the </w:t>
      </w:r>
      <w:r w:rsidR="6FE1EAA0">
        <w:t>EAG</w:t>
      </w:r>
      <w:r>
        <w:t>s will be monitored against delivery of the requirements set out in the</w:t>
      </w:r>
      <w:r w:rsidR="6C380F92">
        <w:t xml:space="preserve"> Terms and Conditions of Contract, the</w:t>
      </w:r>
      <w:r>
        <w:t xml:space="preserve"> Service Level Agreement</w:t>
      </w:r>
      <w:r w:rsidR="6C380F92">
        <w:t xml:space="preserve"> and Key Performance Indicators</w:t>
      </w:r>
      <w:r>
        <w:t xml:space="preserve"> for further details. In general, </w:t>
      </w:r>
      <w:r w:rsidR="6FE1EAA0">
        <w:t>EAG</w:t>
      </w:r>
      <w:r>
        <w:t>s are expected to provide and co-operate with the following monitoring and evaluation processes:</w:t>
      </w:r>
    </w:p>
    <w:p w14:paraId="451C94DE" w14:textId="77777777" w:rsidR="007944A3" w:rsidRDefault="00B5468A" w:rsidP="005B1191">
      <w:pPr>
        <w:pStyle w:val="ITTbody1bullets"/>
        <w:numPr>
          <w:ilvl w:val="0"/>
          <w:numId w:val="21"/>
        </w:numPr>
      </w:pPr>
      <w:r w:rsidRPr="00DD3168">
        <w:t xml:space="preserve">Reports to NICE on the progress of </w:t>
      </w:r>
      <w:r w:rsidR="00981962">
        <w:t>work packages</w:t>
      </w:r>
      <w:r w:rsidRPr="00DD3168">
        <w:t>, using a milestone-based system of status reports</w:t>
      </w:r>
    </w:p>
    <w:p w14:paraId="685AFBFE" w14:textId="0BB099C0" w:rsidR="00B5468A" w:rsidRPr="00DD3168" w:rsidRDefault="413F8AD4" w:rsidP="005B1191">
      <w:pPr>
        <w:pStyle w:val="ITTbody1bullets"/>
        <w:numPr>
          <w:ilvl w:val="0"/>
          <w:numId w:val="21"/>
        </w:numPr>
      </w:pPr>
      <w:r>
        <w:t>Attendance at quarterly contract monitoring meetings with NICE</w:t>
      </w:r>
      <w:r w:rsidR="25C4E6A8">
        <w:t>, held virtually</w:t>
      </w:r>
      <w:r>
        <w:t>.</w:t>
      </w:r>
      <w:r w:rsidR="7D8877C0">
        <w:t xml:space="preserve"> </w:t>
      </w:r>
    </w:p>
    <w:p w14:paraId="05823BBC" w14:textId="77777777" w:rsidR="00B5468A" w:rsidRDefault="00B5468A" w:rsidP="00D02B62">
      <w:pPr>
        <w:pStyle w:val="Heading2"/>
        <w:spacing w:before="240" w:after="120"/>
        <w:ind w:left="709" w:hanging="567"/>
      </w:pPr>
      <w:bookmarkStart w:id="73" w:name="_Ref270063278"/>
      <w:bookmarkStart w:id="74" w:name="_Toc358285100"/>
      <w:bookmarkStart w:id="75" w:name="_Toc478022689"/>
      <w:r w:rsidRPr="00F86A02">
        <w:lastRenderedPageBreak/>
        <w:t>Governance</w:t>
      </w:r>
      <w:bookmarkEnd w:id="73"/>
      <w:bookmarkEnd w:id="74"/>
      <w:bookmarkEnd w:id="75"/>
      <w:r w:rsidRPr="00F86A02">
        <w:t xml:space="preserve"> </w:t>
      </w:r>
    </w:p>
    <w:p w14:paraId="6CF7D14C" w14:textId="0299F672" w:rsidR="009B12F0" w:rsidRPr="009B12F0" w:rsidRDefault="001C5A42" w:rsidP="001C5A42">
      <w:pPr>
        <w:pStyle w:val="ITTbody1"/>
        <w:tabs>
          <w:tab w:val="clear" w:pos="2835"/>
          <w:tab w:val="left" w:pos="709"/>
        </w:tabs>
        <w:ind w:left="0"/>
      </w:pPr>
      <w:r>
        <w:tab/>
      </w:r>
      <w:r w:rsidR="009B12F0">
        <w:t>The governance requirements below apply to all Lots.</w:t>
      </w:r>
    </w:p>
    <w:p w14:paraId="703A4375" w14:textId="77777777" w:rsidR="00B5468A" w:rsidRPr="003C15C6" w:rsidRDefault="00B5468A" w:rsidP="00677151">
      <w:pPr>
        <w:pStyle w:val="Heading3"/>
        <w:ind w:left="709" w:hanging="567"/>
        <w:rPr>
          <w:sz w:val="24"/>
          <w:szCs w:val="24"/>
        </w:rPr>
      </w:pPr>
      <w:bookmarkStart w:id="76" w:name="_Toc358285101"/>
      <w:bookmarkStart w:id="77" w:name="_Toc478022690"/>
      <w:r w:rsidRPr="003C15C6">
        <w:rPr>
          <w:sz w:val="24"/>
          <w:szCs w:val="24"/>
        </w:rPr>
        <w:t>Conflicts of interest and confidentiality</w:t>
      </w:r>
      <w:bookmarkEnd w:id="76"/>
      <w:bookmarkEnd w:id="77"/>
      <w:r w:rsidRPr="003C15C6">
        <w:rPr>
          <w:sz w:val="24"/>
          <w:szCs w:val="24"/>
        </w:rPr>
        <w:t xml:space="preserve"> </w:t>
      </w:r>
    </w:p>
    <w:p w14:paraId="063AC722" w14:textId="0C02F75F" w:rsidR="00B5468A" w:rsidRPr="00DD3168" w:rsidRDefault="08D92D8D" w:rsidP="007944A3">
      <w:pPr>
        <w:pStyle w:val="ITTbody1"/>
        <w:tabs>
          <w:tab w:val="clear" w:pos="2835"/>
          <w:tab w:val="left" w:pos="709"/>
        </w:tabs>
        <w:ind w:left="709" w:firstLine="11"/>
      </w:pPr>
      <w:r>
        <w:t xml:space="preserve">NICE’s </w:t>
      </w:r>
      <w:hyperlink r:id="rId13">
        <w:r w:rsidR="4DF91C21" w:rsidRPr="00B75A35">
          <w:t xml:space="preserve">policy on </w:t>
        </w:r>
        <w:r w:rsidRPr="00B75A35">
          <w:t>conflicts of interest</w:t>
        </w:r>
      </w:hyperlink>
      <w:r w:rsidR="4DF91C21">
        <w:t xml:space="preserve"> </w:t>
      </w:r>
      <w:r>
        <w:t xml:space="preserve">applies to all work carried out under this contract. NICE has a wide range of stakeholders with an interest and involvement in its work, including the </w:t>
      </w:r>
      <w:proofErr w:type="gramStart"/>
      <w:r>
        <w:t>general public</w:t>
      </w:r>
      <w:proofErr w:type="gramEnd"/>
      <w:r>
        <w:t>, patients and carers, healthcare professionals, industry,</w:t>
      </w:r>
      <w:r w:rsidR="0386882C">
        <w:t xml:space="preserve"> commissioners,</w:t>
      </w:r>
      <w:r>
        <w:t xml:space="preserve"> political audiences, academia and international audiences. Organisations proposing to become an </w:t>
      </w:r>
      <w:r w:rsidR="6FE1EAA0">
        <w:t>EAG</w:t>
      </w:r>
      <w:r>
        <w:t xml:space="preserve"> should indicate where they anticipate areas of conflict with their existing work base, and how they would handle issues of conflict of interest and confidentiality within NICE’s policy. </w:t>
      </w:r>
    </w:p>
    <w:p w14:paraId="17F61EEC" w14:textId="77777777" w:rsidR="00B5468A" w:rsidRPr="00DF7E59" w:rsidRDefault="00B5468A" w:rsidP="00B75A35">
      <w:pPr>
        <w:pStyle w:val="Heading3"/>
        <w:ind w:left="709" w:hanging="567"/>
        <w:rPr>
          <w:sz w:val="24"/>
          <w:szCs w:val="24"/>
        </w:rPr>
      </w:pPr>
      <w:bookmarkStart w:id="78" w:name="_Toc358285102"/>
      <w:bookmarkStart w:id="79" w:name="_Toc478022691"/>
      <w:r w:rsidRPr="00DF7E59">
        <w:rPr>
          <w:sz w:val="24"/>
          <w:szCs w:val="24"/>
        </w:rPr>
        <w:t>Equality requirements</w:t>
      </w:r>
      <w:bookmarkEnd w:id="78"/>
      <w:bookmarkEnd w:id="79"/>
    </w:p>
    <w:p w14:paraId="580D06B8" w14:textId="12E9BD46" w:rsidR="00B5468A" w:rsidRPr="00DD3168" w:rsidRDefault="08D92D8D" w:rsidP="007944A3">
      <w:pPr>
        <w:pStyle w:val="ITTbody1"/>
        <w:tabs>
          <w:tab w:val="clear" w:pos="2835"/>
          <w:tab w:val="left" w:pos="709"/>
        </w:tabs>
        <w:ind w:left="709" w:firstLine="11"/>
      </w:pPr>
      <w:r>
        <w:t xml:space="preserve">Organisations proposing to become an </w:t>
      </w:r>
      <w:r w:rsidR="6FE1EAA0">
        <w:t>EAG</w:t>
      </w:r>
      <w:r>
        <w:t xml:space="preserve"> should publish their commitment, and adhere, to UK equality legislation. In addition, in delivering the services under this contract NICE will expect the </w:t>
      </w:r>
      <w:r w:rsidR="6FE1EAA0">
        <w:t>EAG</w:t>
      </w:r>
      <w:r>
        <w:t xml:space="preserve">s to ensure an appropriate level of compliance with the current </w:t>
      </w:r>
      <w:hyperlink r:id="rId14">
        <w:r w:rsidRPr="00E03E12">
          <w:t>NICE Equality Scheme</w:t>
        </w:r>
      </w:hyperlink>
      <w:r>
        <w:t xml:space="preserve">. This includes providing information to NICE to enable the development of the Equality Impact Assessment which NICE publishes for (and at the same time as) </w:t>
      </w:r>
      <w:r w:rsidR="5C2E89BD">
        <w:t>each</w:t>
      </w:r>
      <w:r>
        <w:t xml:space="preserve"> piece of guidance.</w:t>
      </w:r>
    </w:p>
    <w:p w14:paraId="06C7A986" w14:textId="77777777" w:rsidR="00B5468A" w:rsidRPr="00C93B10" w:rsidRDefault="00B5468A" w:rsidP="00FB3609">
      <w:pPr>
        <w:pStyle w:val="Heading3"/>
        <w:ind w:left="709" w:hanging="567"/>
        <w:rPr>
          <w:sz w:val="24"/>
          <w:szCs w:val="24"/>
        </w:rPr>
      </w:pPr>
      <w:bookmarkStart w:id="80" w:name="_Toc358285103"/>
      <w:bookmarkStart w:id="81" w:name="_Toc478022692"/>
      <w:r w:rsidRPr="00C93B10">
        <w:rPr>
          <w:sz w:val="24"/>
          <w:szCs w:val="24"/>
        </w:rPr>
        <w:t>Intellectual property rights (IPR)</w:t>
      </w:r>
      <w:bookmarkEnd w:id="80"/>
      <w:bookmarkEnd w:id="81"/>
    </w:p>
    <w:p w14:paraId="34BF23A4" w14:textId="2AB1599F" w:rsidR="00B5468A" w:rsidRPr="00DD3168" w:rsidRDefault="3A939740" w:rsidP="007944A3">
      <w:pPr>
        <w:pStyle w:val="ITTbody1"/>
        <w:tabs>
          <w:tab w:val="clear" w:pos="2835"/>
          <w:tab w:val="left" w:pos="709"/>
        </w:tabs>
        <w:ind w:left="709" w:firstLine="11"/>
      </w:pPr>
      <w:r w:rsidRPr="00DD3168">
        <w:t>Please refer to the Terms and Conditions for the approach to dealing with IPR under this agreement.</w:t>
      </w:r>
    </w:p>
    <w:p w14:paraId="23C719A1" w14:textId="77777777" w:rsidR="00B5468A" w:rsidRPr="00F86A02" w:rsidRDefault="00B5468A" w:rsidP="008B027C">
      <w:pPr>
        <w:pStyle w:val="Heading2"/>
        <w:spacing w:before="240" w:after="120"/>
        <w:ind w:left="709" w:hanging="567"/>
      </w:pPr>
      <w:bookmarkStart w:id="82" w:name="_Toc358285104"/>
      <w:bookmarkStart w:id="83" w:name="_Toc478022693"/>
      <w:r w:rsidRPr="00F86A02">
        <w:t>Publications based on work commissioned by NICE</w:t>
      </w:r>
      <w:bookmarkEnd w:id="82"/>
      <w:bookmarkEnd w:id="83"/>
    </w:p>
    <w:p w14:paraId="282F012B" w14:textId="193B7514" w:rsidR="00B5468A" w:rsidRPr="00DD3168" w:rsidRDefault="6FE1EAA0" w:rsidP="007944A3">
      <w:pPr>
        <w:pStyle w:val="ITTbody1"/>
        <w:tabs>
          <w:tab w:val="clear" w:pos="2835"/>
          <w:tab w:val="left" w:pos="709"/>
        </w:tabs>
        <w:ind w:left="709" w:firstLine="11"/>
      </w:pPr>
      <w:r>
        <w:t>EAG</w:t>
      </w:r>
      <w:r w:rsidR="08D92D8D">
        <w:t xml:space="preserve">s may publish abstracts, papers or reports based on work commissioned by NICE, only with the explicit and prior consent of NICE, which </w:t>
      </w:r>
      <w:r w:rsidR="488F632A">
        <w:t>NICE</w:t>
      </w:r>
      <w:r w:rsidR="08D92D8D">
        <w:t xml:space="preserve"> will not unreasonably withhold. Papers associated with specific pieces of NICE guidance will not normally be published by the </w:t>
      </w:r>
      <w:r>
        <w:t>EAG</w:t>
      </w:r>
      <w:r w:rsidR="08D92D8D">
        <w:t xml:space="preserve"> before NICE publishes </w:t>
      </w:r>
      <w:r w:rsidR="488F632A">
        <w:t xml:space="preserve">final recommendations for </w:t>
      </w:r>
      <w:r w:rsidR="08D92D8D">
        <w:t>that guidance.</w:t>
      </w:r>
    </w:p>
    <w:p w14:paraId="243A27FB" w14:textId="03ED6ED4" w:rsidR="00223BC1" w:rsidRPr="00223BC1" w:rsidRDefault="00223BC1" w:rsidP="00E30E10">
      <w:pPr>
        <w:pStyle w:val="Heading2"/>
        <w:spacing w:before="240" w:after="120"/>
        <w:ind w:left="709" w:hanging="567"/>
      </w:pPr>
      <w:bookmarkStart w:id="84" w:name="_Toc483313690"/>
      <w:bookmarkStart w:id="85" w:name="_Toc484419344"/>
      <w:bookmarkStart w:id="86" w:name="_Toc484422290"/>
      <w:bookmarkEnd w:id="84"/>
      <w:bookmarkEnd w:id="85"/>
      <w:bookmarkEnd w:id="86"/>
      <w:r w:rsidRPr="00223BC1">
        <w:t>Funding applications</w:t>
      </w:r>
    </w:p>
    <w:p w14:paraId="6F927F1D" w14:textId="3184546C" w:rsidR="00223BC1" w:rsidRPr="00DD3168" w:rsidRDefault="6FE1EAA0" w:rsidP="007944A3">
      <w:pPr>
        <w:pStyle w:val="ITTbody1"/>
        <w:tabs>
          <w:tab w:val="clear" w:pos="2835"/>
          <w:tab w:val="left" w:pos="709"/>
        </w:tabs>
        <w:ind w:left="709" w:firstLine="11"/>
      </w:pPr>
      <w:r>
        <w:t>EAG</w:t>
      </w:r>
      <w:r w:rsidR="41425F0C">
        <w:t>s may apply for external funding for research. This may be from companies, charities, government agencies etc. All funding applications arising from work undertaken for NICE will be subject to review by NICE before they are submitted to potential funders.</w:t>
      </w:r>
    </w:p>
    <w:p w14:paraId="4AC86C7E" w14:textId="77777777" w:rsidR="00B5468A" w:rsidRPr="00B612C2" w:rsidRDefault="00B5468A" w:rsidP="0067795F">
      <w:pPr>
        <w:pStyle w:val="Heading2"/>
        <w:spacing w:before="240" w:after="120"/>
        <w:ind w:left="709" w:hanging="567"/>
      </w:pPr>
      <w:bookmarkStart w:id="87" w:name="_Toc358285105"/>
      <w:bookmarkStart w:id="88" w:name="_Toc478022694"/>
      <w:r w:rsidRPr="00B612C2">
        <w:t>Adverse events</w:t>
      </w:r>
      <w:bookmarkEnd w:id="87"/>
      <w:bookmarkEnd w:id="88"/>
    </w:p>
    <w:p w14:paraId="05F6F1EC" w14:textId="77777777" w:rsidR="00B5468A" w:rsidRPr="00D726B2" w:rsidRDefault="00B5468A" w:rsidP="006639B6">
      <w:pPr>
        <w:pStyle w:val="Heading3"/>
        <w:ind w:left="851" w:hanging="709"/>
        <w:rPr>
          <w:sz w:val="24"/>
          <w:szCs w:val="24"/>
        </w:rPr>
      </w:pPr>
      <w:bookmarkStart w:id="89" w:name="_Toc358285106"/>
      <w:bookmarkStart w:id="90" w:name="_Toc478022695"/>
      <w:r w:rsidRPr="00D726B2">
        <w:rPr>
          <w:sz w:val="24"/>
          <w:szCs w:val="24"/>
        </w:rPr>
        <w:t>Project critical issues</w:t>
      </w:r>
      <w:bookmarkEnd w:id="89"/>
      <w:bookmarkEnd w:id="90"/>
    </w:p>
    <w:p w14:paraId="6DAB9D89" w14:textId="393D55F4" w:rsidR="00B5468A" w:rsidRDefault="5C0D5F7B" w:rsidP="007944A3">
      <w:pPr>
        <w:pStyle w:val="ITTbody1"/>
        <w:tabs>
          <w:tab w:val="clear" w:pos="2835"/>
          <w:tab w:val="left" w:pos="709"/>
        </w:tabs>
        <w:ind w:left="709" w:firstLine="11"/>
      </w:pPr>
      <w:r>
        <w:lastRenderedPageBreak/>
        <w:t>For all Lots, i</w:t>
      </w:r>
      <w:r w:rsidR="413F8AD4">
        <w:t xml:space="preserve">ssues which impact on the ability of </w:t>
      </w:r>
      <w:r w:rsidR="63E1027D">
        <w:t>EAG</w:t>
      </w:r>
      <w:r w:rsidR="38025FAE">
        <w:t xml:space="preserve">s </w:t>
      </w:r>
      <w:r w:rsidR="413F8AD4">
        <w:t xml:space="preserve">to deliver the service as described in this specification or which may impact on NICE’s image, reputation or credibility must be notified to </w:t>
      </w:r>
      <w:r w:rsidR="21BEA61C">
        <w:t>NICE</w:t>
      </w:r>
      <w:r w:rsidR="413F8AD4">
        <w:t xml:space="preserve"> within no more than </w:t>
      </w:r>
      <w:r w:rsidR="21EA8063">
        <w:t>02 (</w:t>
      </w:r>
      <w:r w:rsidR="413F8AD4">
        <w:t>two</w:t>
      </w:r>
      <w:r w:rsidR="21EA8063">
        <w:t>)</w:t>
      </w:r>
      <w:r w:rsidR="413F8AD4">
        <w:t xml:space="preserve"> working days from the emergence of the issue.</w:t>
      </w:r>
    </w:p>
    <w:p w14:paraId="26A1FCF1" w14:textId="77777777" w:rsidR="00BC2B60" w:rsidRPr="009E65B8" w:rsidRDefault="00BC2B60" w:rsidP="006639B6">
      <w:pPr>
        <w:pStyle w:val="Heading2"/>
        <w:spacing w:before="240" w:after="120"/>
        <w:ind w:left="709" w:hanging="567"/>
      </w:pPr>
      <w:r w:rsidRPr="008B1460">
        <w:t xml:space="preserve">Evidence </w:t>
      </w:r>
      <w:r w:rsidRPr="0056686C">
        <w:t>searching</w:t>
      </w:r>
    </w:p>
    <w:p w14:paraId="2F71741B" w14:textId="77777777" w:rsidR="00BC2B60" w:rsidRPr="00DB69B8" w:rsidRDefault="00BC2B60" w:rsidP="002A39EE">
      <w:pPr>
        <w:pStyle w:val="Heading3"/>
        <w:spacing w:before="0" w:after="120" w:line="240" w:lineRule="auto"/>
        <w:ind w:left="851" w:hanging="709"/>
        <w:rPr>
          <w:b w:val="0"/>
          <w:bCs w:val="0"/>
          <w:sz w:val="24"/>
          <w:szCs w:val="24"/>
        </w:rPr>
      </w:pPr>
      <w:r w:rsidRPr="00DB69B8">
        <w:rPr>
          <w:b w:val="0"/>
          <w:bCs w:val="0"/>
          <w:sz w:val="24"/>
          <w:szCs w:val="24"/>
        </w:rPr>
        <w:t>NICE expects that single or multiple literature searches will be a component of any relevant project types. It will comprise development of a search strategy applied to a range of relevant sources (databases or websites), including specialist sources where appropriate. The output will be a list of literature in a format agreed by NICE, detailed documentation on the search (to enable it to be reproduced) and the supply of copyright-cleared reprints of full-text papers where required. The output may include an independent critique of the literature in the optional format required by NICE.</w:t>
      </w:r>
    </w:p>
    <w:p w14:paraId="2E7FFF62" w14:textId="6A682AC2" w:rsidR="00BC2B60" w:rsidRPr="00134EA9" w:rsidRDefault="00BC2B60" w:rsidP="00DB69B8">
      <w:pPr>
        <w:pStyle w:val="Heading3"/>
        <w:spacing w:before="0" w:after="120" w:line="240" w:lineRule="auto"/>
        <w:ind w:left="851" w:hanging="709"/>
        <w:rPr>
          <w:b w:val="0"/>
          <w:bCs w:val="0"/>
          <w:sz w:val="24"/>
          <w:szCs w:val="24"/>
        </w:rPr>
      </w:pPr>
      <w:r w:rsidRPr="00134EA9">
        <w:rPr>
          <w:b w:val="0"/>
          <w:bCs w:val="0"/>
          <w:sz w:val="24"/>
          <w:szCs w:val="24"/>
        </w:rPr>
        <w:t>It is expected that this work will be carried out by the Supplier by named information specialists with appropriate professional training (i.e. a postgraduate qualification in library or information science, or equivalent experience working in a health library or information service) and continuing professional development in evidence service</w:t>
      </w:r>
      <w:r w:rsidR="007944A3">
        <w:rPr>
          <w:b w:val="0"/>
          <w:bCs w:val="0"/>
          <w:sz w:val="24"/>
          <w:szCs w:val="24"/>
        </w:rPr>
        <w:t>s</w:t>
      </w:r>
      <w:r w:rsidRPr="00134EA9">
        <w:rPr>
          <w:b w:val="0"/>
          <w:bCs w:val="0"/>
          <w:sz w:val="24"/>
          <w:szCs w:val="24"/>
        </w:rPr>
        <w:t>.</w:t>
      </w:r>
    </w:p>
    <w:p w14:paraId="7F7528B1" w14:textId="1B0032FC" w:rsidR="00BC2B60" w:rsidRPr="00134EA9" w:rsidRDefault="660549C0" w:rsidP="00134EA9">
      <w:pPr>
        <w:pStyle w:val="Heading3"/>
        <w:spacing w:before="0" w:after="120" w:line="240" w:lineRule="auto"/>
        <w:ind w:left="851" w:hanging="709"/>
        <w:rPr>
          <w:b w:val="0"/>
          <w:bCs w:val="0"/>
          <w:sz w:val="24"/>
          <w:szCs w:val="24"/>
        </w:rPr>
      </w:pPr>
      <w:r w:rsidRPr="3BF7A29E">
        <w:rPr>
          <w:b w:val="0"/>
          <w:bCs w:val="0"/>
          <w:sz w:val="24"/>
          <w:szCs w:val="24"/>
        </w:rPr>
        <w:t xml:space="preserve">Literature searches may be based on prior search strategies and literature reviews from earlier NICE products, which may have been carried out by NICE or by another organisation. The outputs may be used entirely by the </w:t>
      </w:r>
      <w:r w:rsidR="48A9BB03" w:rsidRPr="3BF7A29E">
        <w:rPr>
          <w:b w:val="0"/>
          <w:bCs w:val="0"/>
          <w:sz w:val="24"/>
          <w:szCs w:val="24"/>
        </w:rPr>
        <w:t>EAG</w:t>
      </w:r>
      <w:r w:rsidRPr="3BF7A29E">
        <w:rPr>
          <w:b w:val="0"/>
          <w:bCs w:val="0"/>
          <w:sz w:val="24"/>
          <w:szCs w:val="24"/>
        </w:rPr>
        <w:t xml:space="preserve"> or may include a stand-alone report for use by NICE with material supplied in a standard RIS file format for importing into evidence management software (e.g. EPPI-Reviewer).</w:t>
      </w:r>
    </w:p>
    <w:p w14:paraId="46D4D9DE" w14:textId="77777777" w:rsidR="00BC2B60" w:rsidRPr="00BC2B60" w:rsidRDefault="00BC2B60" w:rsidP="00BC2B60">
      <w:pPr>
        <w:ind w:firstLine="720"/>
      </w:pPr>
    </w:p>
    <w:sectPr w:rsidR="00BC2B60" w:rsidRPr="00BC2B60" w:rsidSect="00D04C0B">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74762" w14:textId="77777777" w:rsidR="0016303D" w:rsidRDefault="0016303D">
      <w:r>
        <w:separator/>
      </w:r>
    </w:p>
  </w:endnote>
  <w:endnote w:type="continuationSeparator" w:id="0">
    <w:p w14:paraId="6CDB058D" w14:textId="77777777" w:rsidR="0016303D" w:rsidRDefault="0016303D">
      <w:r>
        <w:continuationSeparator/>
      </w:r>
    </w:p>
  </w:endnote>
  <w:endnote w:type="continuationNotice" w:id="1">
    <w:p w14:paraId="6DA3B636" w14:textId="77777777" w:rsidR="0016303D" w:rsidRDefault="001630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266317178"/>
      <w:docPartObj>
        <w:docPartGallery w:val="Page Numbers (Bottom of Page)"/>
        <w:docPartUnique/>
      </w:docPartObj>
    </w:sdtPr>
    <w:sdtContent>
      <w:sdt>
        <w:sdtPr>
          <w:rPr>
            <w:rFonts w:ascii="Arial" w:hAnsi="Arial" w:cs="Arial"/>
            <w:sz w:val="20"/>
            <w:szCs w:val="20"/>
          </w:rPr>
          <w:id w:val="266317179"/>
          <w:docPartObj>
            <w:docPartGallery w:val="Page Numbers (Top of Page)"/>
            <w:docPartUnique/>
          </w:docPartObj>
        </w:sdtPr>
        <w:sdtContent>
          <w:p w14:paraId="7E7306E4" w14:textId="2829E06E" w:rsidR="00D01354" w:rsidRPr="00B622DD" w:rsidRDefault="00D01354" w:rsidP="00DE4DEE">
            <w:pPr>
              <w:tabs>
                <w:tab w:val="center" w:pos="3969"/>
                <w:tab w:val="right" w:pos="8647"/>
              </w:tabs>
              <w:rPr>
                <w:rFonts w:ascii="Arial" w:hAnsi="Arial" w:cs="Arial"/>
                <w:sz w:val="20"/>
                <w:szCs w:val="20"/>
              </w:rPr>
            </w:pPr>
            <w:r>
              <w:rPr>
                <w:rFonts w:ascii="Arial" w:hAnsi="Arial" w:cs="Arial"/>
                <w:sz w:val="20"/>
                <w:szCs w:val="20"/>
              </w:rPr>
              <w:tab/>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color w:val="2B579A"/>
                <w:sz w:val="20"/>
                <w:szCs w:val="20"/>
                <w:shd w:val="clear" w:color="auto" w:fill="E6E6E6"/>
              </w:rPr>
              <w:fldChar w:fldCharType="begin"/>
            </w:r>
            <w:r w:rsidRPr="00B622DD">
              <w:rPr>
                <w:rFonts w:ascii="Arial" w:hAnsi="Arial" w:cs="Arial"/>
                <w:bCs/>
                <w:sz w:val="20"/>
                <w:szCs w:val="20"/>
              </w:rPr>
              <w:instrText xml:space="preserve"> PAGE </w:instrText>
            </w:r>
            <w:r w:rsidRPr="00B622DD">
              <w:rPr>
                <w:rFonts w:ascii="Arial" w:hAnsi="Arial" w:cs="Arial"/>
                <w:bCs/>
                <w:color w:val="2B579A"/>
                <w:sz w:val="20"/>
                <w:szCs w:val="20"/>
                <w:shd w:val="clear" w:color="auto" w:fill="E6E6E6"/>
              </w:rPr>
              <w:fldChar w:fldCharType="separate"/>
            </w:r>
            <w:r w:rsidR="00C60039">
              <w:rPr>
                <w:rFonts w:ascii="Arial" w:hAnsi="Arial" w:cs="Arial"/>
                <w:bCs/>
                <w:noProof/>
                <w:sz w:val="20"/>
                <w:szCs w:val="20"/>
              </w:rPr>
              <w:t>2</w:t>
            </w:r>
            <w:r w:rsidRPr="00B622DD">
              <w:rPr>
                <w:rFonts w:ascii="Arial" w:hAnsi="Arial" w:cs="Arial"/>
                <w:bCs/>
                <w:color w:val="2B579A"/>
                <w:sz w:val="20"/>
                <w:szCs w:val="20"/>
                <w:shd w:val="clear" w:color="auto" w:fill="E6E6E6"/>
              </w:rPr>
              <w:fldChar w:fldCharType="end"/>
            </w:r>
            <w:r w:rsidRPr="00B622DD">
              <w:rPr>
                <w:rFonts w:ascii="Arial" w:hAnsi="Arial" w:cs="Arial"/>
                <w:sz w:val="20"/>
                <w:szCs w:val="20"/>
              </w:rPr>
              <w:t xml:space="preserve"> of </w:t>
            </w:r>
            <w:r w:rsidRPr="00B622DD">
              <w:rPr>
                <w:rFonts w:ascii="Arial" w:hAnsi="Arial" w:cs="Arial"/>
                <w:bCs/>
                <w:color w:val="2B579A"/>
                <w:sz w:val="20"/>
                <w:szCs w:val="20"/>
                <w:shd w:val="clear" w:color="auto" w:fill="E6E6E6"/>
              </w:rPr>
              <w:fldChar w:fldCharType="begin"/>
            </w:r>
            <w:r w:rsidRPr="00B622DD">
              <w:rPr>
                <w:rFonts w:ascii="Arial" w:hAnsi="Arial" w:cs="Arial"/>
                <w:bCs/>
                <w:sz w:val="20"/>
                <w:szCs w:val="20"/>
              </w:rPr>
              <w:instrText xml:space="preserve"> NUMPAGES  </w:instrText>
            </w:r>
            <w:r w:rsidRPr="00B622DD">
              <w:rPr>
                <w:rFonts w:ascii="Arial" w:hAnsi="Arial" w:cs="Arial"/>
                <w:bCs/>
                <w:color w:val="2B579A"/>
                <w:sz w:val="20"/>
                <w:szCs w:val="20"/>
                <w:shd w:val="clear" w:color="auto" w:fill="E6E6E6"/>
              </w:rPr>
              <w:fldChar w:fldCharType="separate"/>
            </w:r>
            <w:r w:rsidR="00C60039">
              <w:rPr>
                <w:rFonts w:ascii="Arial" w:hAnsi="Arial" w:cs="Arial"/>
                <w:bCs/>
                <w:noProof/>
                <w:sz w:val="20"/>
                <w:szCs w:val="20"/>
              </w:rPr>
              <w:t>14</w:t>
            </w:r>
            <w:r w:rsidRPr="00B622DD">
              <w:rPr>
                <w:rFonts w:ascii="Arial" w:hAnsi="Arial" w:cs="Arial"/>
                <w:bCs/>
                <w:color w:val="2B579A"/>
                <w:sz w:val="20"/>
                <w:szCs w:val="20"/>
                <w:shd w:val="clear" w:color="auto" w:fill="E6E6E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28603" w14:textId="77777777" w:rsidR="0016303D" w:rsidRDefault="0016303D">
      <w:r>
        <w:separator/>
      </w:r>
    </w:p>
  </w:footnote>
  <w:footnote w:type="continuationSeparator" w:id="0">
    <w:p w14:paraId="18E5BB0D" w14:textId="77777777" w:rsidR="0016303D" w:rsidRDefault="0016303D">
      <w:r>
        <w:continuationSeparator/>
      </w:r>
    </w:p>
  </w:footnote>
  <w:footnote w:type="continuationNotice" w:id="1">
    <w:p w14:paraId="4BACD257" w14:textId="77777777" w:rsidR="0016303D" w:rsidRDefault="001630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38548" w14:textId="33647A25" w:rsidR="00D01354" w:rsidRPr="00101637" w:rsidRDefault="1F3C3008" w:rsidP="00101637">
    <w:pPr>
      <w:spacing w:after="0"/>
      <w:jc w:val="center"/>
      <w:rPr>
        <w:rFonts w:ascii="Arial" w:hAnsi="Arial" w:cs="Arial"/>
      </w:rPr>
    </w:pPr>
    <w:r w:rsidRPr="1F3C3008">
      <w:rPr>
        <w:rFonts w:ascii="Arial" w:hAnsi="Arial" w:cs="Arial"/>
      </w:rPr>
      <w:t xml:space="preserve">External </w:t>
    </w:r>
    <w:r w:rsidR="007E048D">
      <w:rPr>
        <w:rFonts w:ascii="Arial" w:hAnsi="Arial" w:cs="Arial"/>
      </w:rPr>
      <w:t>A</w:t>
    </w:r>
    <w:r w:rsidRPr="1F3C3008">
      <w:rPr>
        <w:rFonts w:ascii="Arial" w:hAnsi="Arial" w:cs="Arial"/>
      </w:rPr>
      <w:t xml:space="preserve">ssessment </w:t>
    </w:r>
    <w:r w:rsidR="007E048D">
      <w:rPr>
        <w:rFonts w:ascii="Arial" w:hAnsi="Arial" w:cs="Arial"/>
      </w:rPr>
      <w:t>G</w:t>
    </w:r>
    <w:r w:rsidRPr="1F3C3008">
      <w:rPr>
        <w:rFonts w:ascii="Arial" w:hAnsi="Arial" w:cs="Arial"/>
      </w:rPr>
      <w:t>roups</w:t>
    </w:r>
  </w:p>
  <w:p w14:paraId="32ACE81C" w14:textId="77777777" w:rsidR="00D01354" w:rsidRPr="00101637" w:rsidRDefault="00D01354"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 w15:restartNumberingAfterBreak="0">
    <w:nsid w:val="13E43F5C"/>
    <w:multiLevelType w:val="multilevel"/>
    <w:tmpl w:val="CE74EFD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b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7E2A7F"/>
    <w:multiLevelType w:val="hybridMultilevel"/>
    <w:tmpl w:val="03CE7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5" w15:restartNumberingAfterBreak="0">
    <w:nsid w:val="49445684"/>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4CAAFE"/>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F743B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61FF98"/>
    <w:multiLevelType w:val="multilevel"/>
    <w:tmpl w:val="FFFFFFFF"/>
    <w:lvl w:ilvl="0">
      <w:numFmt w:val="none"/>
      <w:pStyle w:val="ITTBody"/>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2656B4"/>
    <w:multiLevelType w:val="multilevel"/>
    <w:tmpl w:val="FFFFFFFF"/>
    <w:lvl w:ilvl="0">
      <w:numFmt w:val="none"/>
      <w:pStyle w:val="ITTBodyLevel2"/>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66127D4D"/>
    <w:multiLevelType w:val="multilevel"/>
    <w:tmpl w:val="6CAA1704"/>
    <w:lvl w:ilvl="0">
      <w:start w:val="1"/>
      <w:numFmt w:val="decimal"/>
      <w:pStyle w:val="ITTHeading1"/>
      <w:lvlText w:val="%1."/>
      <w:lvlJc w:val="left"/>
      <w:pPr>
        <w:ind w:left="1021" w:hanging="1021"/>
      </w:pPr>
      <w:rPr>
        <w:rFonts w:hint="default"/>
      </w:rPr>
    </w:lvl>
    <w:lvl w:ilvl="1">
      <w:start w:val="1"/>
      <w:numFmt w:val="decimal"/>
      <w:lvlText w:val="%1.%2."/>
      <w:lvlJc w:val="left"/>
      <w:pPr>
        <w:ind w:left="1163" w:hanging="1021"/>
      </w:pPr>
    </w:lvl>
    <w:lvl w:ilvl="2">
      <w:start w:val="1"/>
      <w:numFmt w:val="decimal"/>
      <w:lvlText w:val="%1.%2.%3."/>
      <w:lvlJc w:val="left"/>
      <w:pPr>
        <w:ind w:left="1305" w:hanging="1021"/>
      </w:pPr>
      <w:rPr>
        <w:b w:val="0"/>
        <w:bCs/>
        <w:sz w:val="24"/>
        <w:szCs w:val="24"/>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2" w15:restartNumberingAfterBreak="0">
    <w:nsid w:val="7DF86021"/>
    <w:multiLevelType w:val="hybridMultilevel"/>
    <w:tmpl w:val="37648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4609987">
    <w:abstractNumId w:val="6"/>
  </w:num>
  <w:num w:numId="2" w16cid:durableId="797602476">
    <w:abstractNumId w:val="5"/>
  </w:num>
  <w:num w:numId="3" w16cid:durableId="222064707">
    <w:abstractNumId w:val="11"/>
  </w:num>
  <w:num w:numId="4" w16cid:durableId="133716852">
    <w:abstractNumId w:val="4"/>
  </w:num>
  <w:num w:numId="5" w16cid:durableId="1888756542">
    <w:abstractNumId w:val="3"/>
  </w:num>
  <w:num w:numId="6" w16cid:durableId="753360806">
    <w:abstractNumId w:val="10"/>
  </w:num>
  <w:num w:numId="7" w16cid:durableId="745759480">
    <w:abstractNumId w:val="0"/>
  </w:num>
  <w:num w:numId="8" w16cid:durableId="644092359">
    <w:abstractNumId w:val="1"/>
  </w:num>
  <w:num w:numId="9" w16cid:durableId="1454597718">
    <w:abstractNumId w:val="2"/>
  </w:num>
  <w:num w:numId="10" w16cid:durableId="2147041095">
    <w:abstractNumId w:val="9"/>
  </w:num>
  <w:num w:numId="11" w16cid:durableId="1922638067">
    <w:abstractNumId w:val="8"/>
  </w:num>
  <w:num w:numId="12" w16cid:durableId="1096755110">
    <w:abstractNumId w:val="7"/>
  </w:num>
  <w:num w:numId="13" w16cid:durableId="569342744">
    <w:abstractNumId w:val="1"/>
  </w:num>
  <w:num w:numId="14" w16cid:durableId="1863277650">
    <w:abstractNumId w:val="1"/>
  </w:num>
  <w:num w:numId="15" w16cid:durableId="391271808">
    <w:abstractNumId w:val="1"/>
  </w:num>
  <w:num w:numId="16" w16cid:durableId="1113211759">
    <w:abstractNumId w:val="1"/>
  </w:num>
  <w:num w:numId="17" w16cid:durableId="2004384072">
    <w:abstractNumId w:val="1"/>
  </w:num>
  <w:num w:numId="18" w16cid:durableId="790973207">
    <w:abstractNumId w:val="1"/>
  </w:num>
  <w:num w:numId="19" w16cid:durableId="193278231">
    <w:abstractNumId w:val="1"/>
  </w:num>
  <w:num w:numId="20" w16cid:durableId="147409604">
    <w:abstractNumId w:val="1"/>
  </w:num>
  <w:num w:numId="21" w16cid:durableId="41222820">
    <w:abstractNumId w:val="12"/>
  </w:num>
  <w:num w:numId="22" w16cid:durableId="771126566">
    <w:abstractNumId w:val="1"/>
  </w:num>
  <w:num w:numId="23" w16cid:durableId="1714576964">
    <w:abstractNumId w:val="1"/>
  </w:num>
  <w:num w:numId="24" w16cid:durableId="1076824316">
    <w:abstractNumId w:val="1"/>
  </w:num>
  <w:num w:numId="25" w16cid:durableId="851339134">
    <w:abstractNumId w:val="1"/>
  </w:num>
  <w:num w:numId="26" w16cid:durableId="346953750">
    <w:abstractNumId w:val="1"/>
  </w:num>
  <w:num w:numId="27" w16cid:durableId="865407233">
    <w:abstractNumId w:val="1"/>
  </w:num>
  <w:num w:numId="28" w16cid:durableId="445587596">
    <w:abstractNumId w:val="1"/>
  </w:num>
  <w:num w:numId="29" w16cid:durableId="1453211056">
    <w:abstractNumId w:val="1"/>
  </w:num>
  <w:num w:numId="30" w16cid:durableId="240331139">
    <w:abstractNumId w:val="1"/>
  </w:num>
  <w:num w:numId="31" w16cid:durableId="514342318">
    <w:abstractNumId w:val="1"/>
  </w:num>
  <w:num w:numId="32" w16cid:durableId="1048409058">
    <w:abstractNumId w:val="1"/>
  </w:num>
  <w:num w:numId="33" w16cid:durableId="42408858">
    <w:abstractNumId w:val="1"/>
  </w:num>
  <w:num w:numId="34" w16cid:durableId="427583729">
    <w:abstractNumId w:val="1"/>
  </w:num>
  <w:num w:numId="35" w16cid:durableId="472790980">
    <w:abstractNumId w:val="1"/>
  </w:num>
  <w:num w:numId="36" w16cid:durableId="200535463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146"/>
    <w:rsid w:val="0000070F"/>
    <w:rsid w:val="00000A64"/>
    <w:rsid w:val="0000161E"/>
    <w:rsid w:val="00001B2B"/>
    <w:rsid w:val="00001DD8"/>
    <w:rsid w:val="00005F3F"/>
    <w:rsid w:val="000068C2"/>
    <w:rsid w:val="000077D8"/>
    <w:rsid w:val="000111E8"/>
    <w:rsid w:val="00012046"/>
    <w:rsid w:val="00012149"/>
    <w:rsid w:val="0001326E"/>
    <w:rsid w:val="00013DB5"/>
    <w:rsid w:val="00013EC4"/>
    <w:rsid w:val="00014242"/>
    <w:rsid w:val="000161E6"/>
    <w:rsid w:val="00017D81"/>
    <w:rsid w:val="000203E8"/>
    <w:rsid w:val="00020550"/>
    <w:rsid w:val="00020578"/>
    <w:rsid w:val="00020988"/>
    <w:rsid w:val="00021806"/>
    <w:rsid w:val="00021C81"/>
    <w:rsid w:val="00022A12"/>
    <w:rsid w:val="00022FBB"/>
    <w:rsid w:val="00023BE7"/>
    <w:rsid w:val="00024149"/>
    <w:rsid w:val="00024349"/>
    <w:rsid w:val="000249A4"/>
    <w:rsid w:val="000261AC"/>
    <w:rsid w:val="00026BF2"/>
    <w:rsid w:val="00027A4D"/>
    <w:rsid w:val="00027AA5"/>
    <w:rsid w:val="000302D3"/>
    <w:rsid w:val="0003068E"/>
    <w:rsid w:val="00030930"/>
    <w:rsid w:val="00030CA5"/>
    <w:rsid w:val="00031654"/>
    <w:rsid w:val="00031A87"/>
    <w:rsid w:val="000323CF"/>
    <w:rsid w:val="000329A8"/>
    <w:rsid w:val="00032F39"/>
    <w:rsid w:val="00033A96"/>
    <w:rsid w:val="00034764"/>
    <w:rsid w:val="00035540"/>
    <w:rsid w:val="00035E7F"/>
    <w:rsid w:val="00037E74"/>
    <w:rsid w:val="00037F13"/>
    <w:rsid w:val="0004001B"/>
    <w:rsid w:val="000407E4"/>
    <w:rsid w:val="000408F5"/>
    <w:rsid w:val="00041443"/>
    <w:rsid w:val="00041FAC"/>
    <w:rsid w:val="0004252B"/>
    <w:rsid w:val="00042C02"/>
    <w:rsid w:val="000439EB"/>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2912"/>
    <w:rsid w:val="00053DBC"/>
    <w:rsid w:val="000560E8"/>
    <w:rsid w:val="00057357"/>
    <w:rsid w:val="000602F3"/>
    <w:rsid w:val="000605B3"/>
    <w:rsid w:val="00060732"/>
    <w:rsid w:val="00063553"/>
    <w:rsid w:val="0006365E"/>
    <w:rsid w:val="00064203"/>
    <w:rsid w:val="00065D34"/>
    <w:rsid w:val="00066A1E"/>
    <w:rsid w:val="00067230"/>
    <w:rsid w:val="00067807"/>
    <w:rsid w:val="00070955"/>
    <w:rsid w:val="00070E40"/>
    <w:rsid w:val="00071634"/>
    <w:rsid w:val="00072417"/>
    <w:rsid w:val="00072612"/>
    <w:rsid w:val="00072693"/>
    <w:rsid w:val="000726BB"/>
    <w:rsid w:val="00073589"/>
    <w:rsid w:val="00073B90"/>
    <w:rsid w:val="000750E2"/>
    <w:rsid w:val="00075127"/>
    <w:rsid w:val="00075CA5"/>
    <w:rsid w:val="000769C4"/>
    <w:rsid w:val="00076BD9"/>
    <w:rsid w:val="00081590"/>
    <w:rsid w:val="00081770"/>
    <w:rsid w:val="000826CE"/>
    <w:rsid w:val="000828E0"/>
    <w:rsid w:val="0008378D"/>
    <w:rsid w:val="00084731"/>
    <w:rsid w:val="00085043"/>
    <w:rsid w:val="0008515D"/>
    <w:rsid w:val="00085C20"/>
    <w:rsid w:val="00086424"/>
    <w:rsid w:val="00086678"/>
    <w:rsid w:val="00086B52"/>
    <w:rsid w:val="000871F7"/>
    <w:rsid w:val="00087318"/>
    <w:rsid w:val="000906F2"/>
    <w:rsid w:val="00090E7B"/>
    <w:rsid w:val="00091BF4"/>
    <w:rsid w:val="00092338"/>
    <w:rsid w:val="00092F2B"/>
    <w:rsid w:val="00093975"/>
    <w:rsid w:val="00093B46"/>
    <w:rsid w:val="00093BA5"/>
    <w:rsid w:val="00093C14"/>
    <w:rsid w:val="000952CB"/>
    <w:rsid w:val="000955D3"/>
    <w:rsid w:val="00096A8F"/>
    <w:rsid w:val="00096E0A"/>
    <w:rsid w:val="000975F1"/>
    <w:rsid w:val="00097B9E"/>
    <w:rsid w:val="000A05A7"/>
    <w:rsid w:val="000A11B3"/>
    <w:rsid w:val="000A12C6"/>
    <w:rsid w:val="000A135E"/>
    <w:rsid w:val="000A14C2"/>
    <w:rsid w:val="000A3110"/>
    <w:rsid w:val="000A3911"/>
    <w:rsid w:val="000A43F6"/>
    <w:rsid w:val="000A502B"/>
    <w:rsid w:val="000A6507"/>
    <w:rsid w:val="000A6AB5"/>
    <w:rsid w:val="000A6B58"/>
    <w:rsid w:val="000B01E8"/>
    <w:rsid w:val="000B06DD"/>
    <w:rsid w:val="000B20BE"/>
    <w:rsid w:val="000B2C58"/>
    <w:rsid w:val="000B2D81"/>
    <w:rsid w:val="000B3719"/>
    <w:rsid w:val="000B408B"/>
    <w:rsid w:val="000B420E"/>
    <w:rsid w:val="000B67B8"/>
    <w:rsid w:val="000B6FB5"/>
    <w:rsid w:val="000B719F"/>
    <w:rsid w:val="000B7301"/>
    <w:rsid w:val="000C08A0"/>
    <w:rsid w:val="000C1013"/>
    <w:rsid w:val="000C16F9"/>
    <w:rsid w:val="000C1DA1"/>
    <w:rsid w:val="000C1DAF"/>
    <w:rsid w:val="000C2F94"/>
    <w:rsid w:val="000C3044"/>
    <w:rsid w:val="000C3325"/>
    <w:rsid w:val="000C3571"/>
    <w:rsid w:val="000C49BB"/>
    <w:rsid w:val="000C66C9"/>
    <w:rsid w:val="000C7011"/>
    <w:rsid w:val="000C703E"/>
    <w:rsid w:val="000D09D1"/>
    <w:rsid w:val="000D1301"/>
    <w:rsid w:val="000D1D85"/>
    <w:rsid w:val="000D36C9"/>
    <w:rsid w:val="000D380F"/>
    <w:rsid w:val="000D4D44"/>
    <w:rsid w:val="000D5385"/>
    <w:rsid w:val="000D7558"/>
    <w:rsid w:val="000D7AA6"/>
    <w:rsid w:val="000E071A"/>
    <w:rsid w:val="000E3194"/>
    <w:rsid w:val="000E320F"/>
    <w:rsid w:val="000E45E8"/>
    <w:rsid w:val="000E4A72"/>
    <w:rsid w:val="000E551B"/>
    <w:rsid w:val="000E55E7"/>
    <w:rsid w:val="000E5DF3"/>
    <w:rsid w:val="000E5F05"/>
    <w:rsid w:val="000E5F0F"/>
    <w:rsid w:val="000E6E63"/>
    <w:rsid w:val="000E7516"/>
    <w:rsid w:val="000E7708"/>
    <w:rsid w:val="000E7DB5"/>
    <w:rsid w:val="000E7E00"/>
    <w:rsid w:val="000E7E6A"/>
    <w:rsid w:val="000E7E7A"/>
    <w:rsid w:val="000F1D26"/>
    <w:rsid w:val="000F2D8E"/>
    <w:rsid w:val="000F43AF"/>
    <w:rsid w:val="000F5867"/>
    <w:rsid w:val="000F59B9"/>
    <w:rsid w:val="000F72BF"/>
    <w:rsid w:val="000F73DF"/>
    <w:rsid w:val="001001EB"/>
    <w:rsid w:val="00101637"/>
    <w:rsid w:val="00101C3B"/>
    <w:rsid w:val="00101EE0"/>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23D2"/>
    <w:rsid w:val="0012254D"/>
    <w:rsid w:val="00122E45"/>
    <w:rsid w:val="00123902"/>
    <w:rsid w:val="001243A9"/>
    <w:rsid w:val="00126701"/>
    <w:rsid w:val="00126C1E"/>
    <w:rsid w:val="00126E03"/>
    <w:rsid w:val="00127E4A"/>
    <w:rsid w:val="001301C7"/>
    <w:rsid w:val="001311BC"/>
    <w:rsid w:val="00131D22"/>
    <w:rsid w:val="0013261D"/>
    <w:rsid w:val="0013267E"/>
    <w:rsid w:val="00132F23"/>
    <w:rsid w:val="001338BE"/>
    <w:rsid w:val="00133DEC"/>
    <w:rsid w:val="00133EAD"/>
    <w:rsid w:val="00134EA9"/>
    <w:rsid w:val="001360DB"/>
    <w:rsid w:val="001407FD"/>
    <w:rsid w:val="00140F3E"/>
    <w:rsid w:val="0014113A"/>
    <w:rsid w:val="001412EB"/>
    <w:rsid w:val="001422C0"/>
    <w:rsid w:val="001423DA"/>
    <w:rsid w:val="001423F3"/>
    <w:rsid w:val="00144280"/>
    <w:rsid w:val="00144867"/>
    <w:rsid w:val="00144872"/>
    <w:rsid w:val="001449E0"/>
    <w:rsid w:val="00144B36"/>
    <w:rsid w:val="00145641"/>
    <w:rsid w:val="0014640A"/>
    <w:rsid w:val="00146629"/>
    <w:rsid w:val="0015176B"/>
    <w:rsid w:val="00152FB2"/>
    <w:rsid w:val="00153CB2"/>
    <w:rsid w:val="001540DB"/>
    <w:rsid w:val="00155283"/>
    <w:rsid w:val="00155536"/>
    <w:rsid w:val="001555AF"/>
    <w:rsid w:val="00157D1A"/>
    <w:rsid w:val="00157E2C"/>
    <w:rsid w:val="00160209"/>
    <w:rsid w:val="00160379"/>
    <w:rsid w:val="001604B6"/>
    <w:rsid w:val="0016060B"/>
    <w:rsid w:val="00160826"/>
    <w:rsid w:val="00161C3A"/>
    <w:rsid w:val="001625F9"/>
    <w:rsid w:val="001627EC"/>
    <w:rsid w:val="0016303D"/>
    <w:rsid w:val="00163465"/>
    <w:rsid w:val="00163F93"/>
    <w:rsid w:val="00163FC8"/>
    <w:rsid w:val="00164B53"/>
    <w:rsid w:val="00165EA5"/>
    <w:rsid w:val="00165F74"/>
    <w:rsid w:val="00167947"/>
    <w:rsid w:val="00167B11"/>
    <w:rsid w:val="001701DF"/>
    <w:rsid w:val="00170991"/>
    <w:rsid w:val="00171081"/>
    <w:rsid w:val="001716C6"/>
    <w:rsid w:val="0017203C"/>
    <w:rsid w:val="00172491"/>
    <w:rsid w:val="00172C56"/>
    <w:rsid w:val="00173207"/>
    <w:rsid w:val="0017383D"/>
    <w:rsid w:val="0017551D"/>
    <w:rsid w:val="00175A74"/>
    <w:rsid w:val="00176F15"/>
    <w:rsid w:val="001806DE"/>
    <w:rsid w:val="001824EE"/>
    <w:rsid w:val="00184C42"/>
    <w:rsid w:val="0018648C"/>
    <w:rsid w:val="001864C3"/>
    <w:rsid w:val="001868F5"/>
    <w:rsid w:val="001869CA"/>
    <w:rsid w:val="001908F4"/>
    <w:rsid w:val="0019123E"/>
    <w:rsid w:val="001915F4"/>
    <w:rsid w:val="001944F7"/>
    <w:rsid w:val="001953C3"/>
    <w:rsid w:val="001959F2"/>
    <w:rsid w:val="001A160F"/>
    <w:rsid w:val="001A1A96"/>
    <w:rsid w:val="001A1BF0"/>
    <w:rsid w:val="001A1E02"/>
    <w:rsid w:val="001A1FC5"/>
    <w:rsid w:val="001A2528"/>
    <w:rsid w:val="001A2839"/>
    <w:rsid w:val="001A327F"/>
    <w:rsid w:val="001A32BC"/>
    <w:rsid w:val="001A4020"/>
    <w:rsid w:val="001A4059"/>
    <w:rsid w:val="001A4350"/>
    <w:rsid w:val="001A4A52"/>
    <w:rsid w:val="001A4EFE"/>
    <w:rsid w:val="001A5167"/>
    <w:rsid w:val="001A597F"/>
    <w:rsid w:val="001A6C13"/>
    <w:rsid w:val="001B1568"/>
    <w:rsid w:val="001B1BE2"/>
    <w:rsid w:val="001B284D"/>
    <w:rsid w:val="001B33F0"/>
    <w:rsid w:val="001B3430"/>
    <w:rsid w:val="001B3BFB"/>
    <w:rsid w:val="001B6595"/>
    <w:rsid w:val="001B6834"/>
    <w:rsid w:val="001B7B20"/>
    <w:rsid w:val="001C1CF8"/>
    <w:rsid w:val="001C2B3D"/>
    <w:rsid w:val="001C2EE7"/>
    <w:rsid w:val="001C33C5"/>
    <w:rsid w:val="001C3746"/>
    <w:rsid w:val="001C3C41"/>
    <w:rsid w:val="001C4024"/>
    <w:rsid w:val="001C4143"/>
    <w:rsid w:val="001C42D6"/>
    <w:rsid w:val="001C4641"/>
    <w:rsid w:val="001C4E66"/>
    <w:rsid w:val="001C5A42"/>
    <w:rsid w:val="001C7E89"/>
    <w:rsid w:val="001D05AB"/>
    <w:rsid w:val="001D0DD2"/>
    <w:rsid w:val="001D3EFB"/>
    <w:rsid w:val="001D3FAD"/>
    <w:rsid w:val="001D50CE"/>
    <w:rsid w:val="001D59C0"/>
    <w:rsid w:val="001D5EC8"/>
    <w:rsid w:val="001D6300"/>
    <w:rsid w:val="001D6656"/>
    <w:rsid w:val="001D7339"/>
    <w:rsid w:val="001D7E1A"/>
    <w:rsid w:val="001E0450"/>
    <w:rsid w:val="001E2D83"/>
    <w:rsid w:val="001E3BD8"/>
    <w:rsid w:val="001E5CD2"/>
    <w:rsid w:val="001E6C0A"/>
    <w:rsid w:val="001E7153"/>
    <w:rsid w:val="001E7994"/>
    <w:rsid w:val="001E7C3A"/>
    <w:rsid w:val="001F0584"/>
    <w:rsid w:val="001F05AE"/>
    <w:rsid w:val="001F0E00"/>
    <w:rsid w:val="001F1D18"/>
    <w:rsid w:val="001F1E96"/>
    <w:rsid w:val="001F2A48"/>
    <w:rsid w:val="001F2ED3"/>
    <w:rsid w:val="001F38E5"/>
    <w:rsid w:val="001F3CB9"/>
    <w:rsid w:val="001F4527"/>
    <w:rsid w:val="001F45BD"/>
    <w:rsid w:val="00201256"/>
    <w:rsid w:val="00202C7A"/>
    <w:rsid w:val="00202E0E"/>
    <w:rsid w:val="002056DC"/>
    <w:rsid w:val="002057C2"/>
    <w:rsid w:val="00207446"/>
    <w:rsid w:val="00207B7E"/>
    <w:rsid w:val="00212053"/>
    <w:rsid w:val="002136AE"/>
    <w:rsid w:val="00215228"/>
    <w:rsid w:val="00215D21"/>
    <w:rsid w:val="002163DD"/>
    <w:rsid w:val="0021675B"/>
    <w:rsid w:val="00216CF7"/>
    <w:rsid w:val="002176DE"/>
    <w:rsid w:val="002201A9"/>
    <w:rsid w:val="00220784"/>
    <w:rsid w:val="00221442"/>
    <w:rsid w:val="00221A8D"/>
    <w:rsid w:val="00222501"/>
    <w:rsid w:val="002236E3"/>
    <w:rsid w:val="00223915"/>
    <w:rsid w:val="00223BC1"/>
    <w:rsid w:val="00223CFA"/>
    <w:rsid w:val="00224230"/>
    <w:rsid w:val="0022460B"/>
    <w:rsid w:val="00224AD0"/>
    <w:rsid w:val="002255F0"/>
    <w:rsid w:val="00225A58"/>
    <w:rsid w:val="00225E45"/>
    <w:rsid w:val="00226D07"/>
    <w:rsid w:val="0022727B"/>
    <w:rsid w:val="00227ACF"/>
    <w:rsid w:val="002313B9"/>
    <w:rsid w:val="00231F1F"/>
    <w:rsid w:val="002329AD"/>
    <w:rsid w:val="00232CE6"/>
    <w:rsid w:val="00232E7C"/>
    <w:rsid w:val="002333BE"/>
    <w:rsid w:val="00234A7D"/>
    <w:rsid w:val="00234B21"/>
    <w:rsid w:val="00235D75"/>
    <w:rsid w:val="00237320"/>
    <w:rsid w:val="00237813"/>
    <w:rsid w:val="00240625"/>
    <w:rsid w:val="00241744"/>
    <w:rsid w:val="00241931"/>
    <w:rsid w:val="00242525"/>
    <w:rsid w:val="002451E0"/>
    <w:rsid w:val="002465AF"/>
    <w:rsid w:val="002476D4"/>
    <w:rsid w:val="002476D9"/>
    <w:rsid w:val="00247AB8"/>
    <w:rsid w:val="00247C96"/>
    <w:rsid w:val="0025004C"/>
    <w:rsid w:val="00250614"/>
    <w:rsid w:val="00251525"/>
    <w:rsid w:val="002526D8"/>
    <w:rsid w:val="00252DA7"/>
    <w:rsid w:val="002533F4"/>
    <w:rsid w:val="00255382"/>
    <w:rsid w:val="00256C78"/>
    <w:rsid w:val="00257281"/>
    <w:rsid w:val="002573F7"/>
    <w:rsid w:val="00260F1E"/>
    <w:rsid w:val="0026261D"/>
    <w:rsid w:val="00262A0C"/>
    <w:rsid w:val="00262B3C"/>
    <w:rsid w:val="00263684"/>
    <w:rsid w:val="00263F8E"/>
    <w:rsid w:val="0026441D"/>
    <w:rsid w:val="0026722C"/>
    <w:rsid w:val="00270A95"/>
    <w:rsid w:val="00271F3C"/>
    <w:rsid w:val="00272AAE"/>
    <w:rsid w:val="00273576"/>
    <w:rsid w:val="00273AA7"/>
    <w:rsid w:val="0027564C"/>
    <w:rsid w:val="00275EA8"/>
    <w:rsid w:val="0027637B"/>
    <w:rsid w:val="002765DE"/>
    <w:rsid w:val="00277A98"/>
    <w:rsid w:val="00280B37"/>
    <w:rsid w:val="002816FE"/>
    <w:rsid w:val="0028193C"/>
    <w:rsid w:val="00283741"/>
    <w:rsid w:val="0028417C"/>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056D"/>
    <w:rsid w:val="002A07C2"/>
    <w:rsid w:val="002A080C"/>
    <w:rsid w:val="002A212F"/>
    <w:rsid w:val="002A2372"/>
    <w:rsid w:val="002A309D"/>
    <w:rsid w:val="002A347C"/>
    <w:rsid w:val="002A3543"/>
    <w:rsid w:val="002A35C4"/>
    <w:rsid w:val="002A39EE"/>
    <w:rsid w:val="002A3BBC"/>
    <w:rsid w:val="002A6A30"/>
    <w:rsid w:val="002A7E04"/>
    <w:rsid w:val="002B12C6"/>
    <w:rsid w:val="002B19E7"/>
    <w:rsid w:val="002B1BDC"/>
    <w:rsid w:val="002B1F21"/>
    <w:rsid w:val="002B291A"/>
    <w:rsid w:val="002B296B"/>
    <w:rsid w:val="002B2DF2"/>
    <w:rsid w:val="002B41B9"/>
    <w:rsid w:val="002B41BC"/>
    <w:rsid w:val="002B442C"/>
    <w:rsid w:val="002B5702"/>
    <w:rsid w:val="002B5E4F"/>
    <w:rsid w:val="002B60B1"/>
    <w:rsid w:val="002B6825"/>
    <w:rsid w:val="002C1093"/>
    <w:rsid w:val="002C1574"/>
    <w:rsid w:val="002C1EB4"/>
    <w:rsid w:val="002C2379"/>
    <w:rsid w:val="002C282A"/>
    <w:rsid w:val="002C39FD"/>
    <w:rsid w:val="002C41BD"/>
    <w:rsid w:val="002C41F0"/>
    <w:rsid w:val="002C48BD"/>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2C0C"/>
    <w:rsid w:val="002E3A8B"/>
    <w:rsid w:val="002E560C"/>
    <w:rsid w:val="002E6133"/>
    <w:rsid w:val="002F2DB0"/>
    <w:rsid w:val="002F5DD5"/>
    <w:rsid w:val="002F67F2"/>
    <w:rsid w:val="00300976"/>
    <w:rsid w:val="00300A94"/>
    <w:rsid w:val="00303A39"/>
    <w:rsid w:val="00304D34"/>
    <w:rsid w:val="00305246"/>
    <w:rsid w:val="003065C7"/>
    <w:rsid w:val="00307239"/>
    <w:rsid w:val="003104C6"/>
    <w:rsid w:val="0031178A"/>
    <w:rsid w:val="00311A6D"/>
    <w:rsid w:val="0031286A"/>
    <w:rsid w:val="00312995"/>
    <w:rsid w:val="00313101"/>
    <w:rsid w:val="003139C8"/>
    <w:rsid w:val="00314403"/>
    <w:rsid w:val="00314924"/>
    <w:rsid w:val="003149E4"/>
    <w:rsid w:val="003153CC"/>
    <w:rsid w:val="00315B12"/>
    <w:rsid w:val="00316340"/>
    <w:rsid w:val="0031649F"/>
    <w:rsid w:val="0031750D"/>
    <w:rsid w:val="0032018C"/>
    <w:rsid w:val="00320A8F"/>
    <w:rsid w:val="00321683"/>
    <w:rsid w:val="00321B9D"/>
    <w:rsid w:val="00322B16"/>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3CB"/>
    <w:rsid w:val="0033569E"/>
    <w:rsid w:val="00336DC7"/>
    <w:rsid w:val="00337BA0"/>
    <w:rsid w:val="00337DFF"/>
    <w:rsid w:val="003400FC"/>
    <w:rsid w:val="00340E7D"/>
    <w:rsid w:val="00341139"/>
    <w:rsid w:val="00341292"/>
    <w:rsid w:val="00346AB7"/>
    <w:rsid w:val="00347471"/>
    <w:rsid w:val="003478E4"/>
    <w:rsid w:val="003504FD"/>
    <w:rsid w:val="0035196B"/>
    <w:rsid w:val="00353200"/>
    <w:rsid w:val="00353B15"/>
    <w:rsid w:val="0035493B"/>
    <w:rsid w:val="00354A66"/>
    <w:rsid w:val="003556CB"/>
    <w:rsid w:val="003573D7"/>
    <w:rsid w:val="00357CA5"/>
    <w:rsid w:val="00357E06"/>
    <w:rsid w:val="00360417"/>
    <w:rsid w:val="003604BB"/>
    <w:rsid w:val="0036070E"/>
    <w:rsid w:val="00361751"/>
    <w:rsid w:val="00362127"/>
    <w:rsid w:val="00362A05"/>
    <w:rsid w:val="0036319C"/>
    <w:rsid w:val="00364566"/>
    <w:rsid w:val="003654C5"/>
    <w:rsid w:val="00365985"/>
    <w:rsid w:val="003659FE"/>
    <w:rsid w:val="00366B9F"/>
    <w:rsid w:val="00366D99"/>
    <w:rsid w:val="00366FAA"/>
    <w:rsid w:val="003700C3"/>
    <w:rsid w:val="003710E7"/>
    <w:rsid w:val="003719B2"/>
    <w:rsid w:val="00371CE4"/>
    <w:rsid w:val="00371DD4"/>
    <w:rsid w:val="00373C4F"/>
    <w:rsid w:val="0037435D"/>
    <w:rsid w:val="00375A09"/>
    <w:rsid w:val="00375C70"/>
    <w:rsid w:val="00375FF8"/>
    <w:rsid w:val="0037601E"/>
    <w:rsid w:val="0038090F"/>
    <w:rsid w:val="00380970"/>
    <w:rsid w:val="00380ABE"/>
    <w:rsid w:val="00381630"/>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97C08"/>
    <w:rsid w:val="003A040F"/>
    <w:rsid w:val="003A05BA"/>
    <w:rsid w:val="003A2126"/>
    <w:rsid w:val="003A23C2"/>
    <w:rsid w:val="003A27DD"/>
    <w:rsid w:val="003A349E"/>
    <w:rsid w:val="003A3D75"/>
    <w:rsid w:val="003A41DC"/>
    <w:rsid w:val="003A4F1E"/>
    <w:rsid w:val="003A6079"/>
    <w:rsid w:val="003B025E"/>
    <w:rsid w:val="003B1A79"/>
    <w:rsid w:val="003B3C0A"/>
    <w:rsid w:val="003B48C3"/>
    <w:rsid w:val="003B4C37"/>
    <w:rsid w:val="003B4C74"/>
    <w:rsid w:val="003B5253"/>
    <w:rsid w:val="003B537F"/>
    <w:rsid w:val="003B5CA5"/>
    <w:rsid w:val="003B60C3"/>
    <w:rsid w:val="003B7388"/>
    <w:rsid w:val="003B753A"/>
    <w:rsid w:val="003B7FC2"/>
    <w:rsid w:val="003C0461"/>
    <w:rsid w:val="003C0723"/>
    <w:rsid w:val="003C15C6"/>
    <w:rsid w:val="003C1DFC"/>
    <w:rsid w:val="003C2D76"/>
    <w:rsid w:val="003C3527"/>
    <w:rsid w:val="003C353C"/>
    <w:rsid w:val="003C424A"/>
    <w:rsid w:val="003C4678"/>
    <w:rsid w:val="003C4746"/>
    <w:rsid w:val="003C47F4"/>
    <w:rsid w:val="003C5895"/>
    <w:rsid w:val="003C5F73"/>
    <w:rsid w:val="003C6050"/>
    <w:rsid w:val="003C6116"/>
    <w:rsid w:val="003C6D52"/>
    <w:rsid w:val="003C6E6D"/>
    <w:rsid w:val="003C6E9F"/>
    <w:rsid w:val="003C6EFB"/>
    <w:rsid w:val="003D09E3"/>
    <w:rsid w:val="003D1363"/>
    <w:rsid w:val="003D18C0"/>
    <w:rsid w:val="003D21B5"/>
    <w:rsid w:val="003D226A"/>
    <w:rsid w:val="003D5054"/>
    <w:rsid w:val="003D5303"/>
    <w:rsid w:val="003D554F"/>
    <w:rsid w:val="003D5A3B"/>
    <w:rsid w:val="003D7D48"/>
    <w:rsid w:val="003E0F07"/>
    <w:rsid w:val="003E0F85"/>
    <w:rsid w:val="003E11A1"/>
    <w:rsid w:val="003E1796"/>
    <w:rsid w:val="003E222A"/>
    <w:rsid w:val="003E2A85"/>
    <w:rsid w:val="003E3CB5"/>
    <w:rsid w:val="003E5141"/>
    <w:rsid w:val="003E52F4"/>
    <w:rsid w:val="003E6649"/>
    <w:rsid w:val="003E7BE4"/>
    <w:rsid w:val="003E7E4A"/>
    <w:rsid w:val="003F06BF"/>
    <w:rsid w:val="003F0A3C"/>
    <w:rsid w:val="003F0C7A"/>
    <w:rsid w:val="003F0F14"/>
    <w:rsid w:val="003F1013"/>
    <w:rsid w:val="003F21AD"/>
    <w:rsid w:val="003F238E"/>
    <w:rsid w:val="003F3BEE"/>
    <w:rsid w:val="003F440D"/>
    <w:rsid w:val="003F5D3F"/>
    <w:rsid w:val="003F6035"/>
    <w:rsid w:val="003F60ED"/>
    <w:rsid w:val="003F62CE"/>
    <w:rsid w:val="0040076F"/>
    <w:rsid w:val="00400B89"/>
    <w:rsid w:val="00401F8C"/>
    <w:rsid w:val="00403609"/>
    <w:rsid w:val="00403F29"/>
    <w:rsid w:val="00403F85"/>
    <w:rsid w:val="00404342"/>
    <w:rsid w:val="00404346"/>
    <w:rsid w:val="004050F4"/>
    <w:rsid w:val="00405F3F"/>
    <w:rsid w:val="00407BE6"/>
    <w:rsid w:val="00412200"/>
    <w:rsid w:val="00414160"/>
    <w:rsid w:val="0041458A"/>
    <w:rsid w:val="00414826"/>
    <w:rsid w:val="00415B23"/>
    <w:rsid w:val="00416C44"/>
    <w:rsid w:val="00417B08"/>
    <w:rsid w:val="00420386"/>
    <w:rsid w:val="00422130"/>
    <w:rsid w:val="0042291B"/>
    <w:rsid w:val="00424485"/>
    <w:rsid w:val="00424749"/>
    <w:rsid w:val="004251DD"/>
    <w:rsid w:val="00425F0A"/>
    <w:rsid w:val="00425F1B"/>
    <w:rsid w:val="00426CD2"/>
    <w:rsid w:val="0042726C"/>
    <w:rsid w:val="00432548"/>
    <w:rsid w:val="00432805"/>
    <w:rsid w:val="0043356D"/>
    <w:rsid w:val="004343D5"/>
    <w:rsid w:val="00434D75"/>
    <w:rsid w:val="00436740"/>
    <w:rsid w:val="004402DF"/>
    <w:rsid w:val="0044087E"/>
    <w:rsid w:val="00440A98"/>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3F7C"/>
    <w:rsid w:val="0045590D"/>
    <w:rsid w:val="00455E3A"/>
    <w:rsid w:val="00456813"/>
    <w:rsid w:val="004574F1"/>
    <w:rsid w:val="00457551"/>
    <w:rsid w:val="004601A9"/>
    <w:rsid w:val="0046022F"/>
    <w:rsid w:val="004602CF"/>
    <w:rsid w:val="004604B1"/>
    <w:rsid w:val="0046077E"/>
    <w:rsid w:val="00460B75"/>
    <w:rsid w:val="004621FA"/>
    <w:rsid w:val="004639C5"/>
    <w:rsid w:val="00463D90"/>
    <w:rsid w:val="00463E18"/>
    <w:rsid w:val="004675D9"/>
    <w:rsid w:val="00467866"/>
    <w:rsid w:val="00470CE7"/>
    <w:rsid w:val="00470E0A"/>
    <w:rsid w:val="0047254A"/>
    <w:rsid w:val="00472631"/>
    <w:rsid w:val="0047268B"/>
    <w:rsid w:val="00472AF9"/>
    <w:rsid w:val="0047379C"/>
    <w:rsid w:val="004742A3"/>
    <w:rsid w:val="004755E7"/>
    <w:rsid w:val="004762CB"/>
    <w:rsid w:val="004767F3"/>
    <w:rsid w:val="00476FE7"/>
    <w:rsid w:val="00476FF4"/>
    <w:rsid w:val="0047753F"/>
    <w:rsid w:val="0047756A"/>
    <w:rsid w:val="00477DD2"/>
    <w:rsid w:val="0048031B"/>
    <w:rsid w:val="004806B8"/>
    <w:rsid w:val="004813E7"/>
    <w:rsid w:val="0048174A"/>
    <w:rsid w:val="004818AD"/>
    <w:rsid w:val="00481A1C"/>
    <w:rsid w:val="00483EC3"/>
    <w:rsid w:val="0048413B"/>
    <w:rsid w:val="004845C6"/>
    <w:rsid w:val="0048460E"/>
    <w:rsid w:val="004846B0"/>
    <w:rsid w:val="00484A1F"/>
    <w:rsid w:val="00484EAC"/>
    <w:rsid w:val="00485DA4"/>
    <w:rsid w:val="00486AC4"/>
    <w:rsid w:val="00486DE3"/>
    <w:rsid w:val="00487C2B"/>
    <w:rsid w:val="004900C8"/>
    <w:rsid w:val="004904BC"/>
    <w:rsid w:val="00491355"/>
    <w:rsid w:val="00493753"/>
    <w:rsid w:val="0049431B"/>
    <w:rsid w:val="00496F08"/>
    <w:rsid w:val="004971F0"/>
    <w:rsid w:val="004A0558"/>
    <w:rsid w:val="004A3D28"/>
    <w:rsid w:val="004A3F51"/>
    <w:rsid w:val="004A445C"/>
    <w:rsid w:val="004A56AF"/>
    <w:rsid w:val="004A58B9"/>
    <w:rsid w:val="004A6662"/>
    <w:rsid w:val="004A791A"/>
    <w:rsid w:val="004A7B16"/>
    <w:rsid w:val="004B0130"/>
    <w:rsid w:val="004B0470"/>
    <w:rsid w:val="004B0797"/>
    <w:rsid w:val="004B175A"/>
    <w:rsid w:val="004B4920"/>
    <w:rsid w:val="004B5B11"/>
    <w:rsid w:val="004B7D04"/>
    <w:rsid w:val="004C05AB"/>
    <w:rsid w:val="004C0AB5"/>
    <w:rsid w:val="004C224C"/>
    <w:rsid w:val="004C2E94"/>
    <w:rsid w:val="004C2FCB"/>
    <w:rsid w:val="004C48D7"/>
    <w:rsid w:val="004C523E"/>
    <w:rsid w:val="004C555D"/>
    <w:rsid w:val="004C5719"/>
    <w:rsid w:val="004C5B25"/>
    <w:rsid w:val="004C635A"/>
    <w:rsid w:val="004C6B07"/>
    <w:rsid w:val="004C775E"/>
    <w:rsid w:val="004D05B6"/>
    <w:rsid w:val="004D0BA2"/>
    <w:rsid w:val="004D1065"/>
    <w:rsid w:val="004D30D2"/>
    <w:rsid w:val="004D3DDB"/>
    <w:rsid w:val="004D4071"/>
    <w:rsid w:val="004D4385"/>
    <w:rsid w:val="004D4394"/>
    <w:rsid w:val="004D75B9"/>
    <w:rsid w:val="004D7DE5"/>
    <w:rsid w:val="004E0250"/>
    <w:rsid w:val="004E0287"/>
    <w:rsid w:val="004E09DC"/>
    <w:rsid w:val="004E0D96"/>
    <w:rsid w:val="004E1CDF"/>
    <w:rsid w:val="004E1E41"/>
    <w:rsid w:val="004E1F43"/>
    <w:rsid w:val="004E2051"/>
    <w:rsid w:val="004E2099"/>
    <w:rsid w:val="004E2350"/>
    <w:rsid w:val="004E300E"/>
    <w:rsid w:val="004E457F"/>
    <w:rsid w:val="004E5587"/>
    <w:rsid w:val="004E66A4"/>
    <w:rsid w:val="004E74F1"/>
    <w:rsid w:val="004E76AE"/>
    <w:rsid w:val="004E7C0A"/>
    <w:rsid w:val="004F22BE"/>
    <w:rsid w:val="004F239A"/>
    <w:rsid w:val="004F32F2"/>
    <w:rsid w:val="004F45B1"/>
    <w:rsid w:val="004F64A8"/>
    <w:rsid w:val="004F6666"/>
    <w:rsid w:val="004F6FED"/>
    <w:rsid w:val="004F72A4"/>
    <w:rsid w:val="005004F2"/>
    <w:rsid w:val="0050179A"/>
    <w:rsid w:val="00502C53"/>
    <w:rsid w:val="005031A1"/>
    <w:rsid w:val="00503362"/>
    <w:rsid w:val="00503635"/>
    <w:rsid w:val="00503E24"/>
    <w:rsid w:val="00504D8E"/>
    <w:rsid w:val="005062CC"/>
    <w:rsid w:val="00507548"/>
    <w:rsid w:val="00507A43"/>
    <w:rsid w:val="005117F5"/>
    <w:rsid w:val="00512CB1"/>
    <w:rsid w:val="00512D15"/>
    <w:rsid w:val="005137BD"/>
    <w:rsid w:val="00513D8C"/>
    <w:rsid w:val="005165D8"/>
    <w:rsid w:val="005167A8"/>
    <w:rsid w:val="005176D2"/>
    <w:rsid w:val="00517AA2"/>
    <w:rsid w:val="005207AB"/>
    <w:rsid w:val="00520FBD"/>
    <w:rsid w:val="00521B45"/>
    <w:rsid w:val="005224C3"/>
    <w:rsid w:val="0052324A"/>
    <w:rsid w:val="00523FB6"/>
    <w:rsid w:val="00524071"/>
    <w:rsid w:val="0052416D"/>
    <w:rsid w:val="00525317"/>
    <w:rsid w:val="00525319"/>
    <w:rsid w:val="00525961"/>
    <w:rsid w:val="00525CE2"/>
    <w:rsid w:val="0053106C"/>
    <w:rsid w:val="00531B7F"/>
    <w:rsid w:val="00532097"/>
    <w:rsid w:val="00532379"/>
    <w:rsid w:val="00532EA9"/>
    <w:rsid w:val="00533D88"/>
    <w:rsid w:val="00533E63"/>
    <w:rsid w:val="00533E9F"/>
    <w:rsid w:val="00533EE5"/>
    <w:rsid w:val="005344C0"/>
    <w:rsid w:val="005355AA"/>
    <w:rsid w:val="005357BA"/>
    <w:rsid w:val="005360DF"/>
    <w:rsid w:val="00537106"/>
    <w:rsid w:val="00537801"/>
    <w:rsid w:val="00537831"/>
    <w:rsid w:val="00537DB4"/>
    <w:rsid w:val="00540308"/>
    <w:rsid w:val="005417C8"/>
    <w:rsid w:val="00542265"/>
    <w:rsid w:val="00543650"/>
    <w:rsid w:val="00543FF1"/>
    <w:rsid w:val="005449FF"/>
    <w:rsid w:val="00544C19"/>
    <w:rsid w:val="00545D04"/>
    <w:rsid w:val="005469A8"/>
    <w:rsid w:val="00546A48"/>
    <w:rsid w:val="0054754B"/>
    <w:rsid w:val="00547BB2"/>
    <w:rsid w:val="005504A6"/>
    <w:rsid w:val="00551AA9"/>
    <w:rsid w:val="00552291"/>
    <w:rsid w:val="00552547"/>
    <w:rsid w:val="005528A1"/>
    <w:rsid w:val="00552A10"/>
    <w:rsid w:val="0055303B"/>
    <w:rsid w:val="00553307"/>
    <w:rsid w:val="0055336D"/>
    <w:rsid w:val="0055471E"/>
    <w:rsid w:val="00556675"/>
    <w:rsid w:val="005568FC"/>
    <w:rsid w:val="0055701B"/>
    <w:rsid w:val="005615E4"/>
    <w:rsid w:val="00561B18"/>
    <w:rsid w:val="00561BAD"/>
    <w:rsid w:val="00561C77"/>
    <w:rsid w:val="00561D66"/>
    <w:rsid w:val="00564110"/>
    <w:rsid w:val="0056442A"/>
    <w:rsid w:val="00564697"/>
    <w:rsid w:val="00564D79"/>
    <w:rsid w:val="00564E76"/>
    <w:rsid w:val="00565228"/>
    <w:rsid w:val="0056563B"/>
    <w:rsid w:val="00567985"/>
    <w:rsid w:val="00567FB0"/>
    <w:rsid w:val="00573D3B"/>
    <w:rsid w:val="00574991"/>
    <w:rsid w:val="00574E4C"/>
    <w:rsid w:val="0057541E"/>
    <w:rsid w:val="005759F1"/>
    <w:rsid w:val="0057650C"/>
    <w:rsid w:val="005769CA"/>
    <w:rsid w:val="00583291"/>
    <w:rsid w:val="005845D8"/>
    <w:rsid w:val="00584662"/>
    <w:rsid w:val="00585349"/>
    <w:rsid w:val="00585CF9"/>
    <w:rsid w:val="0058679B"/>
    <w:rsid w:val="005868BD"/>
    <w:rsid w:val="00586FBC"/>
    <w:rsid w:val="005903D1"/>
    <w:rsid w:val="00591249"/>
    <w:rsid w:val="005914A5"/>
    <w:rsid w:val="00592D5B"/>
    <w:rsid w:val="00592DC2"/>
    <w:rsid w:val="00593736"/>
    <w:rsid w:val="00594007"/>
    <w:rsid w:val="00595351"/>
    <w:rsid w:val="005953CA"/>
    <w:rsid w:val="00596C55"/>
    <w:rsid w:val="0059712D"/>
    <w:rsid w:val="00597919"/>
    <w:rsid w:val="00597E48"/>
    <w:rsid w:val="005A024B"/>
    <w:rsid w:val="005A0A21"/>
    <w:rsid w:val="005A1063"/>
    <w:rsid w:val="005A1D42"/>
    <w:rsid w:val="005A2CB7"/>
    <w:rsid w:val="005A45CC"/>
    <w:rsid w:val="005A4D6A"/>
    <w:rsid w:val="005A4F90"/>
    <w:rsid w:val="005A583E"/>
    <w:rsid w:val="005A6AC5"/>
    <w:rsid w:val="005A6C31"/>
    <w:rsid w:val="005B01DB"/>
    <w:rsid w:val="005B0CA4"/>
    <w:rsid w:val="005B1191"/>
    <w:rsid w:val="005B18EF"/>
    <w:rsid w:val="005B211F"/>
    <w:rsid w:val="005B28CC"/>
    <w:rsid w:val="005B29B7"/>
    <w:rsid w:val="005B3647"/>
    <w:rsid w:val="005B3E8B"/>
    <w:rsid w:val="005B4913"/>
    <w:rsid w:val="005B4E88"/>
    <w:rsid w:val="005B4E91"/>
    <w:rsid w:val="005B4F24"/>
    <w:rsid w:val="005B5B96"/>
    <w:rsid w:val="005B6FB8"/>
    <w:rsid w:val="005B7A25"/>
    <w:rsid w:val="005B7D68"/>
    <w:rsid w:val="005C258D"/>
    <w:rsid w:val="005C2C79"/>
    <w:rsid w:val="005C2C9F"/>
    <w:rsid w:val="005C2D59"/>
    <w:rsid w:val="005C32E1"/>
    <w:rsid w:val="005C415D"/>
    <w:rsid w:val="005C456C"/>
    <w:rsid w:val="005C489F"/>
    <w:rsid w:val="005C7383"/>
    <w:rsid w:val="005D1396"/>
    <w:rsid w:val="005D26AA"/>
    <w:rsid w:val="005D3238"/>
    <w:rsid w:val="005D33DC"/>
    <w:rsid w:val="005D3B61"/>
    <w:rsid w:val="005D4F0E"/>
    <w:rsid w:val="005D55FD"/>
    <w:rsid w:val="005E00C0"/>
    <w:rsid w:val="005E0D1F"/>
    <w:rsid w:val="005E173D"/>
    <w:rsid w:val="005E1DA6"/>
    <w:rsid w:val="005E2444"/>
    <w:rsid w:val="005E2CF2"/>
    <w:rsid w:val="005E3472"/>
    <w:rsid w:val="005E6122"/>
    <w:rsid w:val="005E7710"/>
    <w:rsid w:val="005E784F"/>
    <w:rsid w:val="005E786A"/>
    <w:rsid w:val="005E7BE7"/>
    <w:rsid w:val="005E7C95"/>
    <w:rsid w:val="005E7D3B"/>
    <w:rsid w:val="005F1A54"/>
    <w:rsid w:val="005F1A5B"/>
    <w:rsid w:val="005F22F9"/>
    <w:rsid w:val="005F2BAF"/>
    <w:rsid w:val="005F2DBC"/>
    <w:rsid w:val="005F3479"/>
    <w:rsid w:val="005F3F33"/>
    <w:rsid w:val="005F547E"/>
    <w:rsid w:val="005F5FD4"/>
    <w:rsid w:val="005F7390"/>
    <w:rsid w:val="005F7B54"/>
    <w:rsid w:val="00600ADC"/>
    <w:rsid w:val="00602DBF"/>
    <w:rsid w:val="00603AD8"/>
    <w:rsid w:val="00603F1E"/>
    <w:rsid w:val="00605F99"/>
    <w:rsid w:val="00606DB2"/>
    <w:rsid w:val="00611D99"/>
    <w:rsid w:val="006124E1"/>
    <w:rsid w:val="006127C0"/>
    <w:rsid w:val="0061336E"/>
    <w:rsid w:val="00614740"/>
    <w:rsid w:val="006153B9"/>
    <w:rsid w:val="006154DA"/>
    <w:rsid w:val="00617EB5"/>
    <w:rsid w:val="006208C4"/>
    <w:rsid w:val="00621F22"/>
    <w:rsid w:val="006226EC"/>
    <w:rsid w:val="0062302B"/>
    <w:rsid w:val="006236D0"/>
    <w:rsid w:val="0062390A"/>
    <w:rsid w:val="0062407F"/>
    <w:rsid w:val="0062438B"/>
    <w:rsid w:val="0062446A"/>
    <w:rsid w:val="00624EAE"/>
    <w:rsid w:val="0062671C"/>
    <w:rsid w:val="00626915"/>
    <w:rsid w:val="0062698C"/>
    <w:rsid w:val="00630224"/>
    <w:rsid w:val="00630ADD"/>
    <w:rsid w:val="00630DC1"/>
    <w:rsid w:val="006313B0"/>
    <w:rsid w:val="00631DD5"/>
    <w:rsid w:val="0063202C"/>
    <w:rsid w:val="0063253A"/>
    <w:rsid w:val="006335E9"/>
    <w:rsid w:val="00634660"/>
    <w:rsid w:val="0063618F"/>
    <w:rsid w:val="00636BAE"/>
    <w:rsid w:val="006400C7"/>
    <w:rsid w:val="006418CC"/>
    <w:rsid w:val="00641E6A"/>
    <w:rsid w:val="006427DE"/>
    <w:rsid w:val="00642D70"/>
    <w:rsid w:val="00642DD5"/>
    <w:rsid w:val="00643020"/>
    <w:rsid w:val="00644DF9"/>
    <w:rsid w:val="006450DB"/>
    <w:rsid w:val="00645215"/>
    <w:rsid w:val="006456A9"/>
    <w:rsid w:val="00645774"/>
    <w:rsid w:val="00646C60"/>
    <w:rsid w:val="0064769E"/>
    <w:rsid w:val="00650105"/>
    <w:rsid w:val="00650243"/>
    <w:rsid w:val="006504F7"/>
    <w:rsid w:val="00650A08"/>
    <w:rsid w:val="00651595"/>
    <w:rsid w:val="00651E52"/>
    <w:rsid w:val="00651EC1"/>
    <w:rsid w:val="0065268C"/>
    <w:rsid w:val="006538C3"/>
    <w:rsid w:val="00654AE1"/>
    <w:rsid w:val="00654C76"/>
    <w:rsid w:val="00655A8F"/>
    <w:rsid w:val="00655E56"/>
    <w:rsid w:val="00656ABC"/>
    <w:rsid w:val="00656DE3"/>
    <w:rsid w:val="006572CF"/>
    <w:rsid w:val="006617F7"/>
    <w:rsid w:val="00661DC0"/>
    <w:rsid w:val="006624A6"/>
    <w:rsid w:val="006628E8"/>
    <w:rsid w:val="00662E55"/>
    <w:rsid w:val="00663416"/>
    <w:rsid w:val="006635E0"/>
    <w:rsid w:val="006639B6"/>
    <w:rsid w:val="006639C7"/>
    <w:rsid w:val="00663F2C"/>
    <w:rsid w:val="006640B2"/>
    <w:rsid w:val="00665063"/>
    <w:rsid w:val="00665BB1"/>
    <w:rsid w:val="00665C0C"/>
    <w:rsid w:val="00666C41"/>
    <w:rsid w:val="00667257"/>
    <w:rsid w:val="00671699"/>
    <w:rsid w:val="006716DB"/>
    <w:rsid w:val="006721E2"/>
    <w:rsid w:val="0067275B"/>
    <w:rsid w:val="00672EFF"/>
    <w:rsid w:val="00673028"/>
    <w:rsid w:val="00674131"/>
    <w:rsid w:val="0067590E"/>
    <w:rsid w:val="00675FA7"/>
    <w:rsid w:val="00676E16"/>
    <w:rsid w:val="00676E4B"/>
    <w:rsid w:val="00677151"/>
    <w:rsid w:val="006776E9"/>
    <w:rsid w:val="0067795F"/>
    <w:rsid w:val="0068048C"/>
    <w:rsid w:val="0068162A"/>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C46"/>
    <w:rsid w:val="00694DA8"/>
    <w:rsid w:val="00694E8C"/>
    <w:rsid w:val="006955B5"/>
    <w:rsid w:val="00695AC8"/>
    <w:rsid w:val="006971D4"/>
    <w:rsid w:val="00697482"/>
    <w:rsid w:val="006976FE"/>
    <w:rsid w:val="006A01B0"/>
    <w:rsid w:val="006A1CBC"/>
    <w:rsid w:val="006A1E46"/>
    <w:rsid w:val="006A2F2C"/>
    <w:rsid w:val="006A317A"/>
    <w:rsid w:val="006A49BF"/>
    <w:rsid w:val="006A4C57"/>
    <w:rsid w:val="006A5EA8"/>
    <w:rsid w:val="006A7639"/>
    <w:rsid w:val="006A79D4"/>
    <w:rsid w:val="006B244F"/>
    <w:rsid w:val="006B3E97"/>
    <w:rsid w:val="006B4203"/>
    <w:rsid w:val="006B4631"/>
    <w:rsid w:val="006B5152"/>
    <w:rsid w:val="006B5401"/>
    <w:rsid w:val="006B576A"/>
    <w:rsid w:val="006B5D4D"/>
    <w:rsid w:val="006B7AAA"/>
    <w:rsid w:val="006C0511"/>
    <w:rsid w:val="006C0974"/>
    <w:rsid w:val="006C1121"/>
    <w:rsid w:val="006C306F"/>
    <w:rsid w:val="006C3216"/>
    <w:rsid w:val="006C3BC5"/>
    <w:rsid w:val="006C5F64"/>
    <w:rsid w:val="006C6663"/>
    <w:rsid w:val="006C6D6E"/>
    <w:rsid w:val="006C730D"/>
    <w:rsid w:val="006C75ED"/>
    <w:rsid w:val="006C7A4B"/>
    <w:rsid w:val="006D13D3"/>
    <w:rsid w:val="006D1420"/>
    <w:rsid w:val="006D27D7"/>
    <w:rsid w:val="006D3204"/>
    <w:rsid w:val="006D34FA"/>
    <w:rsid w:val="006D3C08"/>
    <w:rsid w:val="006D47AF"/>
    <w:rsid w:val="006D4F82"/>
    <w:rsid w:val="006D5773"/>
    <w:rsid w:val="006D58EC"/>
    <w:rsid w:val="006D5CD3"/>
    <w:rsid w:val="006D6C4B"/>
    <w:rsid w:val="006D6D65"/>
    <w:rsid w:val="006D76FB"/>
    <w:rsid w:val="006D7D04"/>
    <w:rsid w:val="006E000A"/>
    <w:rsid w:val="006E070F"/>
    <w:rsid w:val="006E2FE6"/>
    <w:rsid w:val="006E498B"/>
    <w:rsid w:val="006E53BE"/>
    <w:rsid w:val="006E6CC0"/>
    <w:rsid w:val="006F0BE6"/>
    <w:rsid w:val="006F13BA"/>
    <w:rsid w:val="006F1CEE"/>
    <w:rsid w:val="006F2F4B"/>
    <w:rsid w:val="006F3534"/>
    <w:rsid w:val="006F37E1"/>
    <w:rsid w:val="006F3F70"/>
    <w:rsid w:val="006F55F5"/>
    <w:rsid w:val="006F644F"/>
    <w:rsid w:val="006F7A67"/>
    <w:rsid w:val="00703084"/>
    <w:rsid w:val="007040F5"/>
    <w:rsid w:val="0070586E"/>
    <w:rsid w:val="00706DB9"/>
    <w:rsid w:val="00710013"/>
    <w:rsid w:val="00711991"/>
    <w:rsid w:val="00712031"/>
    <w:rsid w:val="0071255B"/>
    <w:rsid w:val="007125E0"/>
    <w:rsid w:val="00712A95"/>
    <w:rsid w:val="00712C42"/>
    <w:rsid w:val="00712F66"/>
    <w:rsid w:val="00713F55"/>
    <w:rsid w:val="00714804"/>
    <w:rsid w:val="00714C3A"/>
    <w:rsid w:val="007163FA"/>
    <w:rsid w:val="007169FC"/>
    <w:rsid w:val="00720268"/>
    <w:rsid w:val="00721DEE"/>
    <w:rsid w:val="00722150"/>
    <w:rsid w:val="007224CE"/>
    <w:rsid w:val="00722630"/>
    <w:rsid w:val="00725EDD"/>
    <w:rsid w:val="00726F3A"/>
    <w:rsid w:val="007300CC"/>
    <w:rsid w:val="0073069B"/>
    <w:rsid w:val="00732D38"/>
    <w:rsid w:val="007331D2"/>
    <w:rsid w:val="00733585"/>
    <w:rsid w:val="00733A1D"/>
    <w:rsid w:val="007341F7"/>
    <w:rsid w:val="00736277"/>
    <w:rsid w:val="00736AF9"/>
    <w:rsid w:val="007375CF"/>
    <w:rsid w:val="0074186A"/>
    <w:rsid w:val="00741DA4"/>
    <w:rsid w:val="00741E63"/>
    <w:rsid w:val="007436E3"/>
    <w:rsid w:val="007457D1"/>
    <w:rsid w:val="0074599A"/>
    <w:rsid w:val="00745D68"/>
    <w:rsid w:val="0075031E"/>
    <w:rsid w:val="007511DA"/>
    <w:rsid w:val="00751376"/>
    <w:rsid w:val="007517CF"/>
    <w:rsid w:val="00752D42"/>
    <w:rsid w:val="007537A7"/>
    <w:rsid w:val="00754BB0"/>
    <w:rsid w:val="007560EE"/>
    <w:rsid w:val="00756871"/>
    <w:rsid w:val="00760C03"/>
    <w:rsid w:val="007611B1"/>
    <w:rsid w:val="007621EB"/>
    <w:rsid w:val="00762476"/>
    <w:rsid w:val="00762657"/>
    <w:rsid w:val="00762B3D"/>
    <w:rsid w:val="00763364"/>
    <w:rsid w:val="007643C5"/>
    <w:rsid w:val="007643E7"/>
    <w:rsid w:val="00767A26"/>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629B"/>
    <w:rsid w:val="00787496"/>
    <w:rsid w:val="00790725"/>
    <w:rsid w:val="007911C5"/>
    <w:rsid w:val="00791920"/>
    <w:rsid w:val="007926B3"/>
    <w:rsid w:val="00792781"/>
    <w:rsid w:val="007928DD"/>
    <w:rsid w:val="0079364C"/>
    <w:rsid w:val="007944A3"/>
    <w:rsid w:val="0079538D"/>
    <w:rsid w:val="007959C0"/>
    <w:rsid w:val="00796959"/>
    <w:rsid w:val="00796D35"/>
    <w:rsid w:val="00797180"/>
    <w:rsid w:val="00797446"/>
    <w:rsid w:val="00797DBD"/>
    <w:rsid w:val="007A03AE"/>
    <w:rsid w:val="007A07B3"/>
    <w:rsid w:val="007A3894"/>
    <w:rsid w:val="007A69D4"/>
    <w:rsid w:val="007A6A87"/>
    <w:rsid w:val="007A70F8"/>
    <w:rsid w:val="007B00FE"/>
    <w:rsid w:val="007B34DE"/>
    <w:rsid w:val="007B3777"/>
    <w:rsid w:val="007B38C0"/>
    <w:rsid w:val="007B3EA1"/>
    <w:rsid w:val="007B5D21"/>
    <w:rsid w:val="007B6019"/>
    <w:rsid w:val="007B66B9"/>
    <w:rsid w:val="007C03BB"/>
    <w:rsid w:val="007C1016"/>
    <w:rsid w:val="007C3FB3"/>
    <w:rsid w:val="007C4228"/>
    <w:rsid w:val="007C43E5"/>
    <w:rsid w:val="007C5921"/>
    <w:rsid w:val="007C5EEE"/>
    <w:rsid w:val="007C6D72"/>
    <w:rsid w:val="007C7BB4"/>
    <w:rsid w:val="007D05AD"/>
    <w:rsid w:val="007D074C"/>
    <w:rsid w:val="007D1FCD"/>
    <w:rsid w:val="007D29DF"/>
    <w:rsid w:val="007D2AF2"/>
    <w:rsid w:val="007D2E7E"/>
    <w:rsid w:val="007D4A21"/>
    <w:rsid w:val="007D4E9F"/>
    <w:rsid w:val="007D4FD5"/>
    <w:rsid w:val="007D56BE"/>
    <w:rsid w:val="007D64FB"/>
    <w:rsid w:val="007D6C7F"/>
    <w:rsid w:val="007E048D"/>
    <w:rsid w:val="007E0657"/>
    <w:rsid w:val="007E1712"/>
    <w:rsid w:val="007E28AA"/>
    <w:rsid w:val="007E28F7"/>
    <w:rsid w:val="007E2EE2"/>
    <w:rsid w:val="007E39F2"/>
    <w:rsid w:val="007E3A44"/>
    <w:rsid w:val="007E458C"/>
    <w:rsid w:val="007E4600"/>
    <w:rsid w:val="007E4791"/>
    <w:rsid w:val="007E4803"/>
    <w:rsid w:val="007E489D"/>
    <w:rsid w:val="007E4E38"/>
    <w:rsid w:val="007F0167"/>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4101"/>
    <w:rsid w:val="00805641"/>
    <w:rsid w:val="00805C66"/>
    <w:rsid w:val="00806151"/>
    <w:rsid w:val="00806186"/>
    <w:rsid w:val="00806F83"/>
    <w:rsid w:val="00807584"/>
    <w:rsid w:val="0081122A"/>
    <w:rsid w:val="00813D5B"/>
    <w:rsid w:val="00816017"/>
    <w:rsid w:val="00822718"/>
    <w:rsid w:val="0082317B"/>
    <w:rsid w:val="00825490"/>
    <w:rsid w:val="008256AE"/>
    <w:rsid w:val="008261CD"/>
    <w:rsid w:val="008261EE"/>
    <w:rsid w:val="00826662"/>
    <w:rsid w:val="00826692"/>
    <w:rsid w:val="008270E4"/>
    <w:rsid w:val="008300D2"/>
    <w:rsid w:val="008310C5"/>
    <w:rsid w:val="0083413F"/>
    <w:rsid w:val="008347C4"/>
    <w:rsid w:val="00835435"/>
    <w:rsid w:val="0083543F"/>
    <w:rsid w:val="00836BF2"/>
    <w:rsid w:val="008379DE"/>
    <w:rsid w:val="00837DE4"/>
    <w:rsid w:val="00840000"/>
    <w:rsid w:val="008418A4"/>
    <w:rsid w:val="00841B84"/>
    <w:rsid w:val="00842A76"/>
    <w:rsid w:val="00842BEF"/>
    <w:rsid w:val="00842F72"/>
    <w:rsid w:val="00843075"/>
    <w:rsid w:val="00843A97"/>
    <w:rsid w:val="0084489E"/>
    <w:rsid w:val="00844B64"/>
    <w:rsid w:val="00845361"/>
    <w:rsid w:val="0084557F"/>
    <w:rsid w:val="00851201"/>
    <w:rsid w:val="00851582"/>
    <w:rsid w:val="0085174B"/>
    <w:rsid w:val="00851DCF"/>
    <w:rsid w:val="008522CE"/>
    <w:rsid w:val="008523AD"/>
    <w:rsid w:val="0085253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262"/>
    <w:rsid w:val="00872356"/>
    <w:rsid w:val="00872CCF"/>
    <w:rsid w:val="0087478B"/>
    <w:rsid w:val="008749A4"/>
    <w:rsid w:val="0087525B"/>
    <w:rsid w:val="008763E0"/>
    <w:rsid w:val="00876E13"/>
    <w:rsid w:val="00876F84"/>
    <w:rsid w:val="008771FA"/>
    <w:rsid w:val="00880C35"/>
    <w:rsid w:val="00880D71"/>
    <w:rsid w:val="008824E1"/>
    <w:rsid w:val="00883184"/>
    <w:rsid w:val="00884777"/>
    <w:rsid w:val="008857B0"/>
    <w:rsid w:val="00885A51"/>
    <w:rsid w:val="00885D80"/>
    <w:rsid w:val="008864BA"/>
    <w:rsid w:val="00887B5A"/>
    <w:rsid w:val="00887CCE"/>
    <w:rsid w:val="00890EE6"/>
    <w:rsid w:val="00890F3E"/>
    <w:rsid w:val="00891321"/>
    <w:rsid w:val="008916CC"/>
    <w:rsid w:val="00891F3C"/>
    <w:rsid w:val="00892C24"/>
    <w:rsid w:val="00892DD0"/>
    <w:rsid w:val="008938A6"/>
    <w:rsid w:val="00894DB4"/>
    <w:rsid w:val="008961D6"/>
    <w:rsid w:val="008A12B8"/>
    <w:rsid w:val="008A1727"/>
    <w:rsid w:val="008A1E66"/>
    <w:rsid w:val="008A20DA"/>
    <w:rsid w:val="008A23BD"/>
    <w:rsid w:val="008A4D1C"/>
    <w:rsid w:val="008A5411"/>
    <w:rsid w:val="008A5969"/>
    <w:rsid w:val="008A6A37"/>
    <w:rsid w:val="008A6D87"/>
    <w:rsid w:val="008B027C"/>
    <w:rsid w:val="008B0656"/>
    <w:rsid w:val="008B12E0"/>
    <w:rsid w:val="008B1460"/>
    <w:rsid w:val="008B18AE"/>
    <w:rsid w:val="008B2E9F"/>
    <w:rsid w:val="008B30DB"/>
    <w:rsid w:val="008B31A5"/>
    <w:rsid w:val="008B39B8"/>
    <w:rsid w:val="008B3E4C"/>
    <w:rsid w:val="008B3F7A"/>
    <w:rsid w:val="008B3F84"/>
    <w:rsid w:val="008B4825"/>
    <w:rsid w:val="008B4A1A"/>
    <w:rsid w:val="008B51B3"/>
    <w:rsid w:val="008B5577"/>
    <w:rsid w:val="008B62B3"/>
    <w:rsid w:val="008B7AA9"/>
    <w:rsid w:val="008B7EED"/>
    <w:rsid w:val="008B7FDD"/>
    <w:rsid w:val="008C3114"/>
    <w:rsid w:val="008C312F"/>
    <w:rsid w:val="008C3C7F"/>
    <w:rsid w:val="008C4264"/>
    <w:rsid w:val="008C454D"/>
    <w:rsid w:val="008C45A4"/>
    <w:rsid w:val="008C471D"/>
    <w:rsid w:val="008C4DA4"/>
    <w:rsid w:val="008C55D9"/>
    <w:rsid w:val="008C697C"/>
    <w:rsid w:val="008C6D6F"/>
    <w:rsid w:val="008C6FBB"/>
    <w:rsid w:val="008C772B"/>
    <w:rsid w:val="008D1385"/>
    <w:rsid w:val="008D2F42"/>
    <w:rsid w:val="008D301F"/>
    <w:rsid w:val="008D329A"/>
    <w:rsid w:val="008D33FE"/>
    <w:rsid w:val="008D4220"/>
    <w:rsid w:val="008D44BD"/>
    <w:rsid w:val="008D644A"/>
    <w:rsid w:val="008D76BC"/>
    <w:rsid w:val="008E0C63"/>
    <w:rsid w:val="008E1EE3"/>
    <w:rsid w:val="008E2AFF"/>
    <w:rsid w:val="008E2DF2"/>
    <w:rsid w:val="008E403D"/>
    <w:rsid w:val="008E4651"/>
    <w:rsid w:val="008E4841"/>
    <w:rsid w:val="008E674A"/>
    <w:rsid w:val="008E7BB2"/>
    <w:rsid w:val="008F0AD1"/>
    <w:rsid w:val="008F0C41"/>
    <w:rsid w:val="008F18DF"/>
    <w:rsid w:val="008F1D62"/>
    <w:rsid w:val="008F206F"/>
    <w:rsid w:val="008F3127"/>
    <w:rsid w:val="008F4395"/>
    <w:rsid w:val="008F48E6"/>
    <w:rsid w:val="008F635D"/>
    <w:rsid w:val="008F680A"/>
    <w:rsid w:val="008F6944"/>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07A67"/>
    <w:rsid w:val="00910D92"/>
    <w:rsid w:val="00914683"/>
    <w:rsid w:val="00915C11"/>
    <w:rsid w:val="009160EF"/>
    <w:rsid w:val="0091779B"/>
    <w:rsid w:val="00917FD3"/>
    <w:rsid w:val="0092059A"/>
    <w:rsid w:val="00920AC2"/>
    <w:rsid w:val="00921AFE"/>
    <w:rsid w:val="00921B7F"/>
    <w:rsid w:val="009228E4"/>
    <w:rsid w:val="00922A24"/>
    <w:rsid w:val="00923482"/>
    <w:rsid w:val="009244A3"/>
    <w:rsid w:val="009245C0"/>
    <w:rsid w:val="00925707"/>
    <w:rsid w:val="00927FC7"/>
    <w:rsid w:val="0093066F"/>
    <w:rsid w:val="00930A3D"/>
    <w:rsid w:val="009321A7"/>
    <w:rsid w:val="00936D62"/>
    <w:rsid w:val="009371FA"/>
    <w:rsid w:val="00937B51"/>
    <w:rsid w:val="009406C9"/>
    <w:rsid w:val="00940753"/>
    <w:rsid w:val="009427A4"/>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0851"/>
    <w:rsid w:val="00962C2A"/>
    <w:rsid w:val="009634B4"/>
    <w:rsid w:val="00963891"/>
    <w:rsid w:val="009643E0"/>
    <w:rsid w:val="0096440C"/>
    <w:rsid w:val="00965CAA"/>
    <w:rsid w:val="009665DF"/>
    <w:rsid w:val="00966D39"/>
    <w:rsid w:val="009672AA"/>
    <w:rsid w:val="0096747D"/>
    <w:rsid w:val="009700BA"/>
    <w:rsid w:val="00970812"/>
    <w:rsid w:val="00970AF4"/>
    <w:rsid w:val="0097138B"/>
    <w:rsid w:val="0097269C"/>
    <w:rsid w:val="0097558C"/>
    <w:rsid w:val="009766B6"/>
    <w:rsid w:val="00976D4E"/>
    <w:rsid w:val="00976FBB"/>
    <w:rsid w:val="009774E4"/>
    <w:rsid w:val="009802DD"/>
    <w:rsid w:val="00980482"/>
    <w:rsid w:val="00980AA9"/>
    <w:rsid w:val="00981962"/>
    <w:rsid w:val="009824A2"/>
    <w:rsid w:val="0098371A"/>
    <w:rsid w:val="00983E58"/>
    <w:rsid w:val="00984C93"/>
    <w:rsid w:val="0098520B"/>
    <w:rsid w:val="009858B5"/>
    <w:rsid w:val="009866AD"/>
    <w:rsid w:val="00987D7D"/>
    <w:rsid w:val="00987E72"/>
    <w:rsid w:val="009915FD"/>
    <w:rsid w:val="0099223D"/>
    <w:rsid w:val="00992397"/>
    <w:rsid w:val="009931C9"/>
    <w:rsid w:val="00995036"/>
    <w:rsid w:val="00995A4F"/>
    <w:rsid w:val="00995BD4"/>
    <w:rsid w:val="00996171"/>
    <w:rsid w:val="00997ED4"/>
    <w:rsid w:val="009A031B"/>
    <w:rsid w:val="009A0547"/>
    <w:rsid w:val="009A616D"/>
    <w:rsid w:val="009B0605"/>
    <w:rsid w:val="009B122E"/>
    <w:rsid w:val="009B12F0"/>
    <w:rsid w:val="009B1641"/>
    <w:rsid w:val="009B1BFA"/>
    <w:rsid w:val="009B2011"/>
    <w:rsid w:val="009B2BE9"/>
    <w:rsid w:val="009B4593"/>
    <w:rsid w:val="009B524C"/>
    <w:rsid w:val="009B56AB"/>
    <w:rsid w:val="009B6FA8"/>
    <w:rsid w:val="009B7687"/>
    <w:rsid w:val="009C115F"/>
    <w:rsid w:val="009C15CD"/>
    <w:rsid w:val="009C1AB2"/>
    <w:rsid w:val="009C25BA"/>
    <w:rsid w:val="009C3691"/>
    <w:rsid w:val="009C3B43"/>
    <w:rsid w:val="009C4134"/>
    <w:rsid w:val="009C4BAE"/>
    <w:rsid w:val="009C61D0"/>
    <w:rsid w:val="009C6263"/>
    <w:rsid w:val="009C73CD"/>
    <w:rsid w:val="009D1086"/>
    <w:rsid w:val="009D1255"/>
    <w:rsid w:val="009D1D0C"/>
    <w:rsid w:val="009D218E"/>
    <w:rsid w:val="009D2678"/>
    <w:rsid w:val="009D2781"/>
    <w:rsid w:val="009D4A3F"/>
    <w:rsid w:val="009D4C4E"/>
    <w:rsid w:val="009D5427"/>
    <w:rsid w:val="009D5535"/>
    <w:rsid w:val="009D57E2"/>
    <w:rsid w:val="009D5A3C"/>
    <w:rsid w:val="009D5A70"/>
    <w:rsid w:val="009D5CDE"/>
    <w:rsid w:val="009E07AD"/>
    <w:rsid w:val="009E18D0"/>
    <w:rsid w:val="009E29E4"/>
    <w:rsid w:val="009E2BD0"/>
    <w:rsid w:val="009E2D4D"/>
    <w:rsid w:val="009E317B"/>
    <w:rsid w:val="009E451F"/>
    <w:rsid w:val="009E47F6"/>
    <w:rsid w:val="009E4A89"/>
    <w:rsid w:val="009E4B7E"/>
    <w:rsid w:val="009E4BEB"/>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1490"/>
    <w:rsid w:val="00A0385C"/>
    <w:rsid w:val="00A04E15"/>
    <w:rsid w:val="00A05AED"/>
    <w:rsid w:val="00A06B80"/>
    <w:rsid w:val="00A072C0"/>
    <w:rsid w:val="00A108CB"/>
    <w:rsid w:val="00A11457"/>
    <w:rsid w:val="00A11C85"/>
    <w:rsid w:val="00A12160"/>
    <w:rsid w:val="00A12F03"/>
    <w:rsid w:val="00A1419F"/>
    <w:rsid w:val="00A1483A"/>
    <w:rsid w:val="00A14FB3"/>
    <w:rsid w:val="00A150AD"/>
    <w:rsid w:val="00A1510A"/>
    <w:rsid w:val="00A159C7"/>
    <w:rsid w:val="00A16B09"/>
    <w:rsid w:val="00A171C7"/>
    <w:rsid w:val="00A175CD"/>
    <w:rsid w:val="00A17B47"/>
    <w:rsid w:val="00A20053"/>
    <w:rsid w:val="00A21A3E"/>
    <w:rsid w:val="00A222B7"/>
    <w:rsid w:val="00A229AE"/>
    <w:rsid w:val="00A23CB6"/>
    <w:rsid w:val="00A2590E"/>
    <w:rsid w:val="00A25ADB"/>
    <w:rsid w:val="00A25F86"/>
    <w:rsid w:val="00A26613"/>
    <w:rsid w:val="00A27A40"/>
    <w:rsid w:val="00A3028B"/>
    <w:rsid w:val="00A31B60"/>
    <w:rsid w:val="00A325C7"/>
    <w:rsid w:val="00A3394F"/>
    <w:rsid w:val="00A339CA"/>
    <w:rsid w:val="00A3496C"/>
    <w:rsid w:val="00A34C88"/>
    <w:rsid w:val="00A35F8A"/>
    <w:rsid w:val="00A36059"/>
    <w:rsid w:val="00A362F0"/>
    <w:rsid w:val="00A36FD0"/>
    <w:rsid w:val="00A37FF3"/>
    <w:rsid w:val="00A4034C"/>
    <w:rsid w:val="00A42DBE"/>
    <w:rsid w:val="00A43128"/>
    <w:rsid w:val="00A439F2"/>
    <w:rsid w:val="00A45044"/>
    <w:rsid w:val="00A45C2B"/>
    <w:rsid w:val="00A502C7"/>
    <w:rsid w:val="00A50B19"/>
    <w:rsid w:val="00A51595"/>
    <w:rsid w:val="00A5160D"/>
    <w:rsid w:val="00A51B2E"/>
    <w:rsid w:val="00A53254"/>
    <w:rsid w:val="00A55C47"/>
    <w:rsid w:val="00A5749C"/>
    <w:rsid w:val="00A579F4"/>
    <w:rsid w:val="00A611C8"/>
    <w:rsid w:val="00A617C2"/>
    <w:rsid w:val="00A61DF7"/>
    <w:rsid w:val="00A62B10"/>
    <w:rsid w:val="00A633C1"/>
    <w:rsid w:val="00A635D3"/>
    <w:rsid w:val="00A64D50"/>
    <w:rsid w:val="00A65799"/>
    <w:rsid w:val="00A66296"/>
    <w:rsid w:val="00A67333"/>
    <w:rsid w:val="00A7047D"/>
    <w:rsid w:val="00A7242B"/>
    <w:rsid w:val="00A73C96"/>
    <w:rsid w:val="00A73E1B"/>
    <w:rsid w:val="00A752F3"/>
    <w:rsid w:val="00A75F7B"/>
    <w:rsid w:val="00A765B7"/>
    <w:rsid w:val="00A76803"/>
    <w:rsid w:val="00A76A76"/>
    <w:rsid w:val="00A80DDC"/>
    <w:rsid w:val="00A80FDD"/>
    <w:rsid w:val="00A81BB9"/>
    <w:rsid w:val="00A81FC0"/>
    <w:rsid w:val="00A8270B"/>
    <w:rsid w:val="00A83B20"/>
    <w:rsid w:val="00A83EA5"/>
    <w:rsid w:val="00A83F00"/>
    <w:rsid w:val="00A84974"/>
    <w:rsid w:val="00A84E09"/>
    <w:rsid w:val="00A85660"/>
    <w:rsid w:val="00A85D4C"/>
    <w:rsid w:val="00A86CF0"/>
    <w:rsid w:val="00A871E9"/>
    <w:rsid w:val="00A87251"/>
    <w:rsid w:val="00A8730F"/>
    <w:rsid w:val="00A87F4F"/>
    <w:rsid w:val="00A90FB6"/>
    <w:rsid w:val="00A92B42"/>
    <w:rsid w:val="00A940F4"/>
    <w:rsid w:val="00AA0EE2"/>
    <w:rsid w:val="00AA1152"/>
    <w:rsid w:val="00AA223F"/>
    <w:rsid w:val="00AA2CF5"/>
    <w:rsid w:val="00AA3CE7"/>
    <w:rsid w:val="00AA5475"/>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D74FF"/>
    <w:rsid w:val="00AE0205"/>
    <w:rsid w:val="00AE0374"/>
    <w:rsid w:val="00AE0504"/>
    <w:rsid w:val="00AE0911"/>
    <w:rsid w:val="00AE0C6F"/>
    <w:rsid w:val="00AE155C"/>
    <w:rsid w:val="00AE1EDD"/>
    <w:rsid w:val="00AE25C1"/>
    <w:rsid w:val="00AE2A68"/>
    <w:rsid w:val="00AE2B04"/>
    <w:rsid w:val="00AE2C76"/>
    <w:rsid w:val="00AE4A56"/>
    <w:rsid w:val="00AE65F7"/>
    <w:rsid w:val="00AE6CF1"/>
    <w:rsid w:val="00AE6D43"/>
    <w:rsid w:val="00AE6E68"/>
    <w:rsid w:val="00AE750A"/>
    <w:rsid w:val="00AE77DD"/>
    <w:rsid w:val="00AF2D4B"/>
    <w:rsid w:val="00AF2DC4"/>
    <w:rsid w:val="00AF4757"/>
    <w:rsid w:val="00AF495A"/>
    <w:rsid w:val="00AF4B84"/>
    <w:rsid w:val="00AF4CBB"/>
    <w:rsid w:val="00AF4D5A"/>
    <w:rsid w:val="00AF5936"/>
    <w:rsid w:val="00AF5C3F"/>
    <w:rsid w:val="00AF5CFC"/>
    <w:rsid w:val="00AF6C3D"/>
    <w:rsid w:val="00AF7258"/>
    <w:rsid w:val="00AF7A83"/>
    <w:rsid w:val="00AF7E80"/>
    <w:rsid w:val="00B01A1C"/>
    <w:rsid w:val="00B02379"/>
    <w:rsid w:val="00B0312F"/>
    <w:rsid w:val="00B033B6"/>
    <w:rsid w:val="00B04331"/>
    <w:rsid w:val="00B05360"/>
    <w:rsid w:val="00B056A5"/>
    <w:rsid w:val="00B077AC"/>
    <w:rsid w:val="00B078CC"/>
    <w:rsid w:val="00B10701"/>
    <w:rsid w:val="00B114EB"/>
    <w:rsid w:val="00B119C9"/>
    <w:rsid w:val="00B12EFA"/>
    <w:rsid w:val="00B13223"/>
    <w:rsid w:val="00B136E0"/>
    <w:rsid w:val="00B142FC"/>
    <w:rsid w:val="00B14313"/>
    <w:rsid w:val="00B14330"/>
    <w:rsid w:val="00B15556"/>
    <w:rsid w:val="00B15EC9"/>
    <w:rsid w:val="00B163B1"/>
    <w:rsid w:val="00B20191"/>
    <w:rsid w:val="00B21194"/>
    <w:rsid w:val="00B211B5"/>
    <w:rsid w:val="00B21645"/>
    <w:rsid w:val="00B219C6"/>
    <w:rsid w:val="00B22D44"/>
    <w:rsid w:val="00B23018"/>
    <w:rsid w:val="00B23632"/>
    <w:rsid w:val="00B24503"/>
    <w:rsid w:val="00B24BE6"/>
    <w:rsid w:val="00B24DDA"/>
    <w:rsid w:val="00B25BB2"/>
    <w:rsid w:val="00B273E9"/>
    <w:rsid w:val="00B321D5"/>
    <w:rsid w:val="00B33FA8"/>
    <w:rsid w:val="00B34EB4"/>
    <w:rsid w:val="00B41CE1"/>
    <w:rsid w:val="00B41D46"/>
    <w:rsid w:val="00B423BF"/>
    <w:rsid w:val="00B43A1B"/>
    <w:rsid w:val="00B43F34"/>
    <w:rsid w:val="00B4402C"/>
    <w:rsid w:val="00B444E9"/>
    <w:rsid w:val="00B4531E"/>
    <w:rsid w:val="00B45F53"/>
    <w:rsid w:val="00B46015"/>
    <w:rsid w:val="00B503C8"/>
    <w:rsid w:val="00B51291"/>
    <w:rsid w:val="00B5174A"/>
    <w:rsid w:val="00B529D1"/>
    <w:rsid w:val="00B5468A"/>
    <w:rsid w:val="00B54EBF"/>
    <w:rsid w:val="00B5546C"/>
    <w:rsid w:val="00B57CE5"/>
    <w:rsid w:val="00B57EF9"/>
    <w:rsid w:val="00B601F1"/>
    <w:rsid w:val="00B60423"/>
    <w:rsid w:val="00B622DD"/>
    <w:rsid w:val="00B628A4"/>
    <w:rsid w:val="00B63CEA"/>
    <w:rsid w:val="00B65D09"/>
    <w:rsid w:val="00B65EEF"/>
    <w:rsid w:val="00B660E3"/>
    <w:rsid w:val="00B671B8"/>
    <w:rsid w:val="00B6799F"/>
    <w:rsid w:val="00B70346"/>
    <w:rsid w:val="00B727D2"/>
    <w:rsid w:val="00B7385D"/>
    <w:rsid w:val="00B7467E"/>
    <w:rsid w:val="00B746F9"/>
    <w:rsid w:val="00B750D7"/>
    <w:rsid w:val="00B7529B"/>
    <w:rsid w:val="00B7554C"/>
    <w:rsid w:val="00B756D0"/>
    <w:rsid w:val="00B75A35"/>
    <w:rsid w:val="00B75B8D"/>
    <w:rsid w:val="00B75BB6"/>
    <w:rsid w:val="00B76505"/>
    <w:rsid w:val="00B76AA6"/>
    <w:rsid w:val="00B81B62"/>
    <w:rsid w:val="00B83D83"/>
    <w:rsid w:val="00B84F73"/>
    <w:rsid w:val="00B85DD9"/>
    <w:rsid w:val="00B86072"/>
    <w:rsid w:val="00B870A4"/>
    <w:rsid w:val="00B90331"/>
    <w:rsid w:val="00B90ABA"/>
    <w:rsid w:val="00B90EFA"/>
    <w:rsid w:val="00B919C4"/>
    <w:rsid w:val="00B920E6"/>
    <w:rsid w:val="00B924D0"/>
    <w:rsid w:val="00B9279B"/>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0DC8"/>
    <w:rsid w:val="00BB1BB0"/>
    <w:rsid w:val="00BB2908"/>
    <w:rsid w:val="00BB2F16"/>
    <w:rsid w:val="00BB32FB"/>
    <w:rsid w:val="00BB4B01"/>
    <w:rsid w:val="00BB5BDC"/>
    <w:rsid w:val="00BB65C5"/>
    <w:rsid w:val="00BB66E6"/>
    <w:rsid w:val="00BB7C36"/>
    <w:rsid w:val="00BC0717"/>
    <w:rsid w:val="00BC19EF"/>
    <w:rsid w:val="00BC1E9C"/>
    <w:rsid w:val="00BC2726"/>
    <w:rsid w:val="00BC2B60"/>
    <w:rsid w:val="00BC45C0"/>
    <w:rsid w:val="00BC4F3E"/>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C40"/>
    <w:rsid w:val="00BE2FF6"/>
    <w:rsid w:val="00BE2FFD"/>
    <w:rsid w:val="00BE3A3B"/>
    <w:rsid w:val="00BE3E86"/>
    <w:rsid w:val="00BE45C2"/>
    <w:rsid w:val="00BE53D6"/>
    <w:rsid w:val="00BE6168"/>
    <w:rsid w:val="00BE63DB"/>
    <w:rsid w:val="00BE7416"/>
    <w:rsid w:val="00BE78B8"/>
    <w:rsid w:val="00BE7CCF"/>
    <w:rsid w:val="00BF0C8E"/>
    <w:rsid w:val="00BF1158"/>
    <w:rsid w:val="00BF1452"/>
    <w:rsid w:val="00BF17B6"/>
    <w:rsid w:val="00BF32E0"/>
    <w:rsid w:val="00BF4853"/>
    <w:rsid w:val="00BF4C7C"/>
    <w:rsid w:val="00BF4D10"/>
    <w:rsid w:val="00BF749E"/>
    <w:rsid w:val="00BF7D9B"/>
    <w:rsid w:val="00C01A13"/>
    <w:rsid w:val="00C058F9"/>
    <w:rsid w:val="00C079D3"/>
    <w:rsid w:val="00C07A11"/>
    <w:rsid w:val="00C103C3"/>
    <w:rsid w:val="00C11A03"/>
    <w:rsid w:val="00C12B43"/>
    <w:rsid w:val="00C146CB"/>
    <w:rsid w:val="00C14F6A"/>
    <w:rsid w:val="00C155EB"/>
    <w:rsid w:val="00C16F66"/>
    <w:rsid w:val="00C202BC"/>
    <w:rsid w:val="00C20378"/>
    <w:rsid w:val="00C206E6"/>
    <w:rsid w:val="00C211F9"/>
    <w:rsid w:val="00C21813"/>
    <w:rsid w:val="00C23D88"/>
    <w:rsid w:val="00C23FB3"/>
    <w:rsid w:val="00C2406D"/>
    <w:rsid w:val="00C267C8"/>
    <w:rsid w:val="00C26CBC"/>
    <w:rsid w:val="00C30D7A"/>
    <w:rsid w:val="00C3334A"/>
    <w:rsid w:val="00C342C1"/>
    <w:rsid w:val="00C350A2"/>
    <w:rsid w:val="00C363B5"/>
    <w:rsid w:val="00C36AC8"/>
    <w:rsid w:val="00C373B9"/>
    <w:rsid w:val="00C4078F"/>
    <w:rsid w:val="00C4087B"/>
    <w:rsid w:val="00C40D02"/>
    <w:rsid w:val="00C41D33"/>
    <w:rsid w:val="00C41F86"/>
    <w:rsid w:val="00C42801"/>
    <w:rsid w:val="00C43BF2"/>
    <w:rsid w:val="00C47ABA"/>
    <w:rsid w:val="00C5075F"/>
    <w:rsid w:val="00C50BF5"/>
    <w:rsid w:val="00C5104E"/>
    <w:rsid w:val="00C5166D"/>
    <w:rsid w:val="00C51D52"/>
    <w:rsid w:val="00C528E1"/>
    <w:rsid w:val="00C535C6"/>
    <w:rsid w:val="00C55387"/>
    <w:rsid w:val="00C57FF2"/>
    <w:rsid w:val="00C60039"/>
    <w:rsid w:val="00C61B1B"/>
    <w:rsid w:val="00C63E9D"/>
    <w:rsid w:val="00C64CD2"/>
    <w:rsid w:val="00C64E5E"/>
    <w:rsid w:val="00C66970"/>
    <w:rsid w:val="00C70A82"/>
    <w:rsid w:val="00C70CB7"/>
    <w:rsid w:val="00C70D85"/>
    <w:rsid w:val="00C71CF8"/>
    <w:rsid w:val="00C73659"/>
    <w:rsid w:val="00C7461C"/>
    <w:rsid w:val="00C748F8"/>
    <w:rsid w:val="00C74A52"/>
    <w:rsid w:val="00C75A34"/>
    <w:rsid w:val="00C75E93"/>
    <w:rsid w:val="00C77017"/>
    <w:rsid w:val="00C77019"/>
    <w:rsid w:val="00C77797"/>
    <w:rsid w:val="00C779D8"/>
    <w:rsid w:val="00C77C21"/>
    <w:rsid w:val="00C77F4C"/>
    <w:rsid w:val="00C808F2"/>
    <w:rsid w:val="00C83FB0"/>
    <w:rsid w:val="00C84190"/>
    <w:rsid w:val="00C84726"/>
    <w:rsid w:val="00C86994"/>
    <w:rsid w:val="00C90306"/>
    <w:rsid w:val="00C9175F"/>
    <w:rsid w:val="00C91AB9"/>
    <w:rsid w:val="00C9204B"/>
    <w:rsid w:val="00C93308"/>
    <w:rsid w:val="00C93B10"/>
    <w:rsid w:val="00C93EC6"/>
    <w:rsid w:val="00C940CB"/>
    <w:rsid w:val="00C945EE"/>
    <w:rsid w:val="00C949DF"/>
    <w:rsid w:val="00C96D89"/>
    <w:rsid w:val="00C97C7F"/>
    <w:rsid w:val="00CA0682"/>
    <w:rsid w:val="00CA0C25"/>
    <w:rsid w:val="00CA0F2D"/>
    <w:rsid w:val="00CA15BC"/>
    <w:rsid w:val="00CA2AA2"/>
    <w:rsid w:val="00CA2CB4"/>
    <w:rsid w:val="00CA2FB9"/>
    <w:rsid w:val="00CA4C54"/>
    <w:rsid w:val="00CA5120"/>
    <w:rsid w:val="00CA6C20"/>
    <w:rsid w:val="00CB055A"/>
    <w:rsid w:val="00CB20D0"/>
    <w:rsid w:val="00CB2113"/>
    <w:rsid w:val="00CB3EC6"/>
    <w:rsid w:val="00CB440B"/>
    <w:rsid w:val="00CB490C"/>
    <w:rsid w:val="00CB6B3A"/>
    <w:rsid w:val="00CB772D"/>
    <w:rsid w:val="00CB7924"/>
    <w:rsid w:val="00CC04B1"/>
    <w:rsid w:val="00CC1E82"/>
    <w:rsid w:val="00CC2431"/>
    <w:rsid w:val="00CC2E52"/>
    <w:rsid w:val="00CC4602"/>
    <w:rsid w:val="00CC4D3C"/>
    <w:rsid w:val="00CC6065"/>
    <w:rsid w:val="00CC6D15"/>
    <w:rsid w:val="00CC7281"/>
    <w:rsid w:val="00CD01D7"/>
    <w:rsid w:val="00CD041A"/>
    <w:rsid w:val="00CD0AC4"/>
    <w:rsid w:val="00CD2DF9"/>
    <w:rsid w:val="00CD44AD"/>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E7E4E"/>
    <w:rsid w:val="00CF103C"/>
    <w:rsid w:val="00CF30A5"/>
    <w:rsid w:val="00CF30D4"/>
    <w:rsid w:val="00CF3798"/>
    <w:rsid w:val="00CF45A1"/>
    <w:rsid w:val="00CF567C"/>
    <w:rsid w:val="00CF61F7"/>
    <w:rsid w:val="00CF6736"/>
    <w:rsid w:val="00CF679A"/>
    <w:rsid w:val="00CF7DB3"/>
    <w:rsid w:val="00D0086F"/>
    <w:rsid w:val="00D00918"/>
    <w:rsid w:val="00D01180"/>
    <w:rsid w:val="00D01354"/>
    <w:rsid w:val="00D013E0"/>
    <w:rsid w:val="00D01878"/>
    <w:rsid w:val="00D02B62"/>
    <w:rsid w:val="00D02F5F"/>
    <w:rsid w:val="00D04705"/>
    <w:rsid w:val="00D04C0B"/>
    <w:rsid w:val="00D04D49"/>
    <w:rsid w:val="00D05A23"/>
    <w:rsid w:val="00D05BA1"/>
    <w:rsid w:val="00D105A3"/>
    <w:rsid w:val="00D10A14"/>
    <w:rsid w:val="00D131BA"/>
    <w:rsid w:val="00D13736"/>
    <w:rsid w:val="00D13FB6"/>
    <w:rsid w:val="00D15330"/>
    <w:rsid w:val="00D16CE6"/>
    <w:rsid w:val="00D178F2"/>
    <w:rsid w:val="00D17D1B"/>
    <w:rsid w:val="00D20D2C"/>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179"/>
    <w:rsid w:val="00D447B4"/>
    <w:rsid w:val="00D460C9"/>
    <w:rsid w:val="00D46222"/>
    <w:rsid w:val="00D4623B"/>
    <w:rsid w:val="00D46890"/>
    <w:rsid w:val="00D4728F"/>
    <w:rsid w:val="00D4774E"/>
    <w:rsid w:val="00D47E1D"/>
    <w:rsid w:val="00D50E55"/>
    <w:rsid w:val="00D51831"/>
    <w:rsid w:val="00D522CA"/>
    <w:rsid w:val="00D52849"/>
    <w:rsid w:val="00D53850"/>
    <w:rsid w:val="00D551BF"/>
    <w:rsid w:val="00D559FB"/>
    <w:rsid w:val="00D55CC5"/>
    <w:rsid w:val="00D604A4"/>
    <w:rsid w:val="00D604F8"/>
    <w:rsid w:val="00D6053C"/>
    <w:rsid w:val="00D60B87"/>
    <w:rsid w:val="00D60CBD"/>
    <w:rsid w:val="00D60F29"/>
    <w:rsid w:val="00D60FD1"/>
    <w:rsid w:val="00D628DA"/>
    <w:rsid w:val="00D632AB"/>
    <w:rsid w:val="00D637E0"/>
    <w:rsid w:val="00D65628"/>
    <w:rsid w:val="00D662E2"/>
    <w:rsid w:val="00D66565"/>
    <w:rsid w:val="00D66D50"/>
    <w:rsid w:val="00D70665"/>
    <w:rsid w:val="00D724D1"/>
    <w:rsid w:val="00D726B2"/>
    <w:rsid w:val="00D751EF"/>
    <w:rsid w:val="00D7648D"/>
    <w:rsid w:val="00D771D7"/>
    <w:rsid w:val="00D77256"/>
    <w:rsid w:val="00D7754E"/>
    <w:rsid w:val="00D80135"/>
    <w:rsid w:val="00D804D3"/>
    <w:rsid w:val="00D80D26"/>
    <w:rsid w:val="00D81EC5"/>
    <w:rsid w:val="00D82549"/>
    <w:rsid w:val="00D829CB"/>
    <w:rsid w:val="00D82E12"/>
    <w:rsid w:val="00D83129"/>
    <w:rsid w:val="00D84EFA"/>
    <w:rsid w:val="00D85099"/>
    <w:rsid w:val="00D86381"/>
    <w:rsid w:val="00D86A79"/>
    <w:rsid w:val="00D871BF"/>
    <w:rsid w:val="00D90814"/>
    <w:rsid w:val="00D90EE8"/>
    <w:rsid w:val="00D913AB"/>
    <w:rsid w:val="00D93D00"/>
    <w:rsid w:val="00D94970"/>
    <w:rsid w:val="00DA0CD0"/>
    <w:rsid w:val="00DA1239"/>
    <w:rsid w:val="00DA12E8"/>
    <w:rsid w:val="00DA3228"/>
    <w:rsid w:val="00DA322F"/>
    <w:rsid w:val="00DA446B"/>
    <w:rsid w:val="00DA5490"/>
    <w:rsid w:val="00DA5B5B"/>
    <w:rsid w:val="00DA5BB6"/>
    <w:rsid w:val="00DA626F"/>
    <w:rsid w:val="00DA65D8"/>
    <w:rsid w:val="00DA7B2A"/>
    <w:rsid w:val="00DB06AC"/>
    <w:rsid w:val="00DB434C"/>
    <w:rsid w:val="00DB4DD7"/>
    <w:rsid w:val="00DB50EF"/>
    <w:rsid w:val="00DB515F"/>
    <w:rsid w:val="00DB55D8"/>
    <w:rsid w:val="00DB642C"/>
    <w:rsid w:val="00DB69B8"/>
    <w:rsid w:val="00DB6DFD"/>
    <w:rsid w:val="00DC022F"/>
    <w:rsid w:val="00DC1490"/>
    <w:rsid w:val="00DC1653"/>
    <w:rsid w:val="00DC2B85"/>
    <w:rsid w:val="00DC32FB"/>
    <w:rsid w:val="00DC45CB"/>
    <w:rsid w:val="00DC4AF9"/>
    <w:rsid w:val="00DC6881"/>
    <w:rsid w:val="00DC7153"/>
    <w:rsid w:val="00DC72CC"/>
    <w:rsid w:val="00DC7889"/>
    <w:rsid w:val="00DC79A9"/>
    <w:rsid w:val="00DC79E8"/>
    <w:rsid w:val="00DC7D27"/>
    <w:rsid w:val="00DD23C6"/>
    <w:rsid w:val="00DD3168"/>
    <w:rsid w:val="00DD3C99"/>
    <w:rsid w:val="00DD428C"/>
    <w:rsid w:val="00DD515F"/>
    <w:rsid w:val="00DD637F"/>
    <w:rsid w:val="00DD666D"/>
    <w:rsid w:val="00DE05BD"/>
    <w:rsid w:val="00DE09D2"/>
    <w:rsid w:val="00DE0ECB"/>
    <w:rsid w:val="00DE0FDA"/>
    <w:rsid w:val="00DE2690"/>
    <w:rsid w:val="00DE2945"/>
    <w:rsid w:val="00DE419E"/>
    <w:rsid w:val="00DE4542"/>
    <w:rsid w:val="00DE4C1D"/>
    <w:rsid w:val="00DE4DEE"/>
    <w:rsid w:val="00DE4FFF"/>
    <w:rsid w:val="00DE50C3"/>
    <w:rsid w:val="00DE513D"/>
    <w:rsid w:val="00DE56F0"/>
    <w:rsid w:val="00DE5D4D"/>
    <w:rsid w:val="00DE710B"/>
    <w:rsid w:val="00DE7DAC"/>
    <w:rsid w:val="00DE7EB4"/>
    <w:rsid w:val="00DF074E"/>
    <w:rsid w:val="00DF0CE4"/>
    <w:rsid w:val="00DF1C49"/>
    <w:rsid w:val="00DF2A1A"/>
    <w:rsid w:val="00DF49A6"/>
    <w:rsid w:val="00DF55AD"/>
    <w:rsid w:val="00DF5C3A"/>
    <w:rsid w:val="00DF64F2"/>
    <w:rsid w:val="00DF68BE"/>
    <w:rsid w:val="00DF6AD3"/>
    <w:rsid w:val="00DF6C9B"/>
    <w:rsid w:val="00DF753B"/>
    <w:rsid w:val="00DF7D6C"/>
    <w:rsid w:val="00DF7E59"/>
    <w:rsid w:val="00E000ED"/>
    <w:rsid w:val="00E005DA"/>
    <w:rsid w:val="00E01AE6"/>
    <w:rsid w:val="00E037FB"/>
    <w:rsid w:val="00E03B80"/>
    <w:rsid w:val="00E03E12"/>
    <w:rsid w:val="00E03FDA"/>
    <w:rsid w:val="00E04200"/>
    <w:rsid w:val="00E0449B"/>
    <w:rsid w:val="00E048D5"/>
    <w:rsid w:val="00E04FC4"/>
    <w:rsid w:val="00E05854"/>
    <w:rsid w:val="00E0668A"/>
    <w:rsid w:val="00E0765A"/>
    <w:rsid w:val="00E07859"/>
    <w:rsid w:val="00E1106E"/>
    <w:rsid w:val="00E123E1"/>
    <w:rsid w:val="00E1291D"/>
    <w:rsid w:val="00E12DDE"/>
    <w:rsid w:val="00E13642"/>
    <w:rsid w:val="00E13719"/>
    <w:rsid w:val="00E13EA4"/>
    <w:rsid w:val="00E14F99"/>
    <w:rsid w:val="00E160A7"/>
    <w:rsid w:val="00E163D5"/>
    <w:rsid w:val="00E16781"/>
    <w:rsid w:val="00E16ECA"/>
    <w:rsid w:val="00E17D07"/>
    <w:rsid w:val="00E21065"/>
    <w:rsid w:val="00E25CC0"/>
    <w:rsid w:val="00E27482"/>
    <w:rsid w:val="00E2788C"/>
    <w:rsid w:val="00E30090"/>
    <w:rsid w:val="00E30E10"/>
    <w:rsid w:val="00E32218"/>
    <w:rsid w:val="00E322FE"/>
    <w:rsid w:val="00E33649"/>
    <w:rsid w:val="00E346A2"/>
    <w:rsid w:val="00E365BC"/>
    <w:rsid w:val="00E36751"/>
    <w:rsid w:val="00E3733E"/>
    <w:rsid w:val="00E373BC"/>
    <w:rsid w:val="00E375C6"/>
    <w:rsid w:val="00E37937"/>
    <w:rsid w:val="00E40AD7"/>
    <w:rsid w:val="00E41889"/>
    <w:rsid w:val="00E43194"/>
    <w:rsid w:val="00E43237"/>
    <w:rsid w:val="00E434C3"/>
    <w:rsid w:val="00E43C34"/>
    <w:rsid w:val="00E4466D"/>
    <w:rsid w:val="00E449BD"/>
    <w:rsid w:val="00E451D1"/>
    <w:rsid w:val="00E45F3F"/>
    <w:rsid w:val="00E46574"/>
    <w:rsid w:val="00E467D5"/>
    <w:rsid w:val="00E479B4"/>
    <w:rsid w:val="00E50067"/>
    <w:rsid w:val="00E51452"/>
    <w:rsid w:val="00E519CF"/>
    <w:rsid w:val="00E53A25"/>
    <w:rsid w:val="00E54090"/>
    <w:rsid w:val="00E549B4"/>
    <w:rsid w:val="00E54CCF"/>
    <w:rsid w:val="00E54F80"/>
    <w:rsid w:val="00E550A5"/>
    <w:rsid w:val="00E551BB"/>
    <w:rsid w:val="00E55220"/>
    <w:rsid w:val="00E556C9"/>
    <w:rsid w:val="00E565B1"/>
    <w:rsid w:val="00E566AA"/>
    <w:rsid w:val="00E56CCB"/>
    <w:rsid w:val="00E57B03"/>
    <w:rsid w:val="00E600B1"/>
    <w:rsid w:val="00E6052C"/>
    <w:rsid w:val="00E61DD2"/>
    <w:rsid w:val="00E6311B"/>
    <w:rsid w:val="00E63C97"/>
    <w:rsid w:val="00E63E10"/>
    <w:rsid w:val="00E6417B"/>
    <w:rsid w:val="00E642D5"/>
    <w:rsid w:val="00E644FB"/>
    <w:rsid w:val="00E64975"/>
    <w:rsid w:val="00E67F2E"/>
    <w:rsid w:val="00E70B8B"/>
    <w:rsid w:val="00E7176F"/>
    <w:rsid w:val="00E7198E"/>
    <w:rsid w:val="00E7215E"/>
    <w:rsid w:val="00E7222E"/>
    <w:rsid w:val="00E72BE9"/>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86937"/>
    <w:rsid w:val="00E90919"/>
    <w:rsid w:val="00E912F8"/>
    <w:rsid w:val="00E91E3B"/>
    <w:rsid w:val="00E9362F"/>
    <w:rsid w:val="00E94593"/>
    <w:rsid w:val="00E94E1A"/>
    <w:rsid w:val="00E96B03"/>
    <w:rsid w:val="00E97061"/>
    <w:rsid w:val="00E970A8"/>
    <w:rsid w:val="00E97412"/>
    <w:rsid w:val="00EA0B9A"/>
    <w:rsid w:val="00EA0F8A"/>
    <w:rsid w:val="00EA2CBE"/>
    <w:rsid w:val="00EA41D4"/>
    <w:rsid w:val="00EA4409"/>
    <w:rsid w:val="00EA4959"/>
    <w:rsid w:val="00EA6243"/>
    <w:rsid w:val="00EA6673"/>
    <w:rsid w:val="00EA6C58"/>
    <w:rsid w:val="00EA6D72"/>
    <w:rsid w:val="00EA6EFD"/>
    <w:rsid w:val="00EA6FF7"/>
    <w:rsid w:val="00EA7DCB"/>
    <w:rsid w:val="00EB025F"/>
    <w:rsid w:val="00EB1EB8"/>
    <w:rsid w:val="00EB2306"/>
    <w:rsid w:val="00EB2653"/>
    <w:rsid w:val="00EB26B8"/>
    <w:rsid w:val="00EB2F5C"/>
    <w:rsid w:val="00EB3619"/>
    <w:rsid w:val="00EB37F0"/>
    <w:rsid w:val="00EB38C6"/>
    <w:rsid w:val="00EB521A"/>
    <w:rsid w:val="00EB5690"/>
    <w:rsid w:val="00EB5E72"/>
    <w:rsid w:val="00EB5EAC"/>
    <w:rsid w:val="00EB6A77"/>
    <w:rsid w:val="00EB77D7"/>
    <w:rsid w:val="00EB7F72"/>
    <w:rsid w:val="00EC0201"/>
    <w:rsid w:val="00EC116D"/>
    <w:rsid w:val="00EC1722"/>
    <w:rsid w:val="00EC1A6A"/>
    <w:rsid w:val="00EC1FA8"/>
    <w:rsid w:val="00EC2019"/>
    <w:rsid w:val="00EC2B65"/>
    <w:rsid w:val="00EC3284"/>
    <w:rsid w:val="00EC4FB7"/>
    <w:rsid w:val="00EC5247"/>
    <w:rsid w:val="00EC59A0"/>
    <w:rsid w:val="00EC5E3B"/>
    <w:rsid w:val="00ED0A43"/>
    <w:rsid w:val="00ED19FD"/>
    <w:rsid w:val="00ED1BB1"/>
    <w:rsid w:val="00ED24AC"/>
    <w:rsid w:val="00ED2665"/>
    <w:rsid w:val="00ED2F7F"/>
    <w:rsid w:val="00ED3ABD"/>
    <w:rsid w:val="00ED50DD"/>
    <w:rsid w:val="00ED5902"/>
    <w:rsid w:val="00ED7C01"/>
    <w:rsid w:val="00EE033D"/>
    <w:rsid w:val="00EE05CE"/>
    <w:rsid w:val="00EE0B86"/>
    <w:rsid w:val="00EE235D"/>
    <w:rsid w:val="00EE294F"/>
    <w:rsid w:val="00EE2BAF"/>
    <w:rsid w:val="00EE378A"/>
    <w:rsid w:val="00EE4E81"/>
    <w:rsid w:val="00EE549E"/>
    <w:rsid w:val="00EE54ED"/>
    <w:rsid w:val="00EE636B"/>
    <w:rsid w:val="00EE64C2"/>
    <w:rsid w:val="00EE705A"/>
    <w:rsid w:val="00EE74ED"/>
    <w:rsid w:val="00EE7E02"/>
    <w:rsid w:val="00EE7F03"/>
    <w:rsid w:val="00EF0C00"/>
    <w:rsid w:val="00EF0D64"/>
    <w:rsid w:val="00EF1B80"/>
    <w:rsid w:val="00EF2734"/>
    <w:rsid w:val="00EF43A3"/>
    <w:rsid w:val="00EF4590"/>
    <w:rsid w:val="00EF47AA"/>
    <w:rsid w:val="00EF47C1"/>
    <w:rsid w:val="00EF4803"/>
    <w:rsid w:val="00EF4ADD"/>
    <w:rsid w:val="00EF5508"/>
    <w:rsid w:val="00EF5F63"/>
    <w:rsid w:val="00EF6AB9"/>
    <w:rsid w:val="00EF6D8B"/>
    <w:rsid w:val="00EF6E77"/>
    <w:rsid w:val="00EF7159"/>
    <w:rsid w:val="00EF71F8"/>
    <w:rsid w:val="00EF7842"/>
    <w:rsid w:val="00F00F0E"/>
    <w:rsid w:val="00F02AD3"/>
    <w:rsid w:val="00F030F7"/>
    <w:rsid w:val="00F05769"/>
    <w:rsid w:val="00F061E3"/>
    <w:rsid w:val="00F063DB"/>
    <w:rsid w:val="00F069B8"/>
    <w:rsid w:val="00F10222"/>
    <w:rsid w:val="00F11301"/>
    <w:rsid w:val="00F13642"/>
    <w:rsid w:val="00F13662"/>
    <w:rsid w:val="00F137B5"/>
    <w:rsid w:val="00F13E8C"/>
    <w:rsid w:val="00F14098"/>
    <w:rsid w:val="00F147AC"/>
    <w:rsid w:val="00F15CCD"/>
    <w:rsid w:val="00F168CE"/>
    <w:rsid w:val="00F170F1"/>
    <w:rsid w:val="00F17463"/>
    <w:rsid w:val="00F26330"/>
    <w:rsid w:val="00F26A02"/>
    <w:rsid w:val="00F26C64"/>
    <w:rsid w:val="00F2794B"/>
    <w:rsid w:val="00F27AE6"/>
    <w:rsid w:val="00F30741"/>
    <w:rsid w:val="00F311B9"/>
    <w:rsid w:val="00F32B36"/>
    <w:rsid w:val="00F33DE3"/>
    <w:rsid w:val="00F345D6"/>
    <w:rsid w:val="00F351CB"/>
    <w:rsid w:val="00F3527D"/>
    <w:rsid w:val="00F35361"/>
    <w:rsid w:val="00F35E09"/>
    <w:rsid w:val="00F362E2"/>
    <w:rsid w:val="00F373E6"/>
    <w:rsid w:val="00F41283"/>
    <w:rsid w:val="00F41695"/>
    <w:rsid w:val="00F42039"/>
    <w:rsid w:val="00F43DA3"/>
    <w:rsid w:val="00F44F59"/>
    <w:rsid w:val="00F452D3"/>
    <w:rsid w:val="00F455B7"/>
    <w:rsid w:val="00F45B20"/>
    <w:rsid w:val="00F4600C"/>
    <w:rsid w:val="00F468FC"/>
    <w:rsid w:val="00F46968"/>
    <w:rsid w:val="00F46D5C"/>
    <w:rsid w:val="00F476A5"/>
    <w:rsid w:val="00F47C0F"/>
    <w:rsid w:val="00F47E52"/>
    <w:rsid w:val="00F501DF"/>
    <w:rsid w:val="00F51595"/>
    <w:rsid w:val="00F522E6"/>
    <w:rsid w:val="00F53D7C"/>
    <w:rsid w:val="00F53EA6"/>
    <w:rsid w:val="00F53FD8"/>
    <w:rsid w:val="00F546B2"/>
    <w:rsid w:val="00F54C32"/>
    <w:rsid w:val="00F54F47"/>
    <w:rsid w:val="00F550C2"/>
    <w:rsid w:val="00F55D7D"/>
    <w:rsid w:val="00F55E87"/>
    <w:rsid w:val="00F56F8F"/>
    <w:rsid w:val="00F600E5"/>
    <w:rsid w:val="00F602BC"/>
    <w:rsid w:val="00F6065F"/>
    <w:rsid w:val="00F622C8"/>
    <w:rsid w:val="00F64A69"/>
    <w:rsid w:val="00F65193"/>
    <w:rsid w:val="00F662F2"/>
    <w:rsid w:val="00F66790"/>
    <w:rsid w:val="00F700CB"/>
    <w:rsid w:val="00F70189"/>
    <w:rsid w:val="00F70D0E"/>
    <w:rsid w:val="00F72326"/>
    <w:rsid w:val="00F735A5"/>
    <w:rsid w:val="00F735D3"/>
    <w:rsid w:val="00F73740"/>
    <w:rsid w:val="00F741E4"/>
    <w:rsid w:val="00F7430F"/>
    <w:rsid w:val="00F749AD"/>
    <w:rsid w:val="00F76B19"/>
    <w:rsid w:val="00F81C80"/>
    <w:rsid w:val="00F82733"/>
    <w:rsid w:val="00F82927"/>
    <w:rsid w:val="00F83114"/>
    <w:rsid w:val="00F842F0"/>
    <w:rsid w:val="00F84B4F"/>
    <w:rsid w:val="00F84CB3"/>
    <w:rsid w:val="00F8551A"/>
    <w:rsid w:val="00F85575"/>
    <w:rsid w:val="00F85D86"/>
    <w:rsid w:val="00F85F4D"/>
    <w:rsid w:val="00F86B22"/>
    <w:rsid w:val="00F8761E"/>
    <w:rsid w:val="00F90499"/>
    <w:rsid w:val="00F91F38"/>
    <w:rsid w:val="00F91F3E"/>
    <w:rsid w:val="00F929A8"/>
    <w:rsid w:val="00F936D7"/>
    <w:rsid w:val="00F94B8F"/>
    <w:rsid w:val="00F95820"/>
    <w:rsid w:val="00FA0389"/>
    <w:rsid w:val="00FA0941"/>
    <w:rsid w:val="00FA0C62"/>
    <w:rsid w:val="00FA2DEF"/>
    <w:rsid w:val="00FA2ECD"/>
    <w:rsid w:val="00FA3C00"/>
    <w:rsid w:val="00FA4F98"/>
    <w:rsid w:val="00FA65E0"/>
    <w:rsid w:val="00FA6C01"/>
    <w:rsid w:val="00FA78BC"/>
    <w:rsid w:val="00FB10C2"/>
    <w:rsid w:val="00FB23B1"/>
    <w:rsid w:val="00FB3609"/>
    <w:rsid w:val="00FB3860"/>
    <w:rsid w:val="00FB5479"/>
    <w:rsid w:val="00FB5BBC"/>
    <w:rsid w:val="00FB5E2C"/>
    <w:rsid w:val="00FB7338"/>
    <w:rsid w:val="00FB7D4E"/>
    <w:rsid w:val="00FC0604"/>
    <w:rsid w:val="00FC0A89"/>
    <w:rsid w:val="00FC1F28"/>
    <w:rsid w:val="00FC2FDD"/>
    <w:rsid w:val="00FC356D"/>
    <w:rsid w:val="00FC38A2"/>
    <w:rsid w:val="00FC4235"/>
    <w:rsid w:val="00FC50D9"/>
    <w:rsid w:val="00FC5AE4"/>
    <w:rsid w:val="00FC680F"/>
    <w:rsid w:val="00FC6F9C"/>
    <w:rsid w:val="00FC747B"/>
    <w:rsid w:val="00FD0B7F"/>
    <w:rsid w:val="00FD0C15"/>
    <w:rsid w:val="00FD27EA"/>
    <w:rsid w:val="00FD2C11"/>
    <w:rsid w:val="00FD3175"/>
    <w:rsid w:val="00FD35FD"/>
    <w:rsid w:val="00FD4195"/>
    <w:rsid w:val="00FD42BF"/>
    <w:rsid w:val="00FD45F9"/>
    <w:rsid w:val="00FD4DB4"/>
    <w:rsid w:val="00FD54D7"/>
    <w:rsid w:val="00FD557E"/>
    <w:rsid w:val="00FD649A"/>
    <w:rsid w:val="00FD6757"/>
    <w:rsid w:val="00FD6D24"/>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 w:val="010D0DFA"/>
    <w:rsid w:val="0120B5F3"/>
    <w:rsid w:val="01A579D8"/>
    <w:rsid w:val="01DB8A59"/>
    <w:rsid w:val="020C81AF"/>
    <w:rsid w:val="022961C0"/>
    <w:rsid w:val="02333A32"/>
    <w:rsid w:val="02C42955"/>
    <w:rsid w:val="02C4B721"/>
    <w:rsid w:val="02FA94D3"/>
    <w:rsid w:val="03045C78"/>
    <w:rsid w:val="0362E2C3"/>
    <w:rsid w:val="0386882C"/>
    <w:rsid w:val="03DA9441"/>
    <w:rsid w:val="03EF44E8"/>
    <w:rsid w:val="048B19DC"/>
    <w:rsid w:val="04B5CAA7"/>
    <w:rsid w:val="04BB2DA3"/>
    <w:rsid w:val="04BB36D7"/>
    <w:rsid w:val="05930A30"/>
    <w:rsid w:val="0599EA5A"/>
    <w:rsid w:val="05D43F1B"/>
    <w:rsid w:val="05E8598F"/>
    <w:rsid w:val="0661A076"/>
    <w:rsid w:val="06DB2C29"/>
    <w:rsid w:val="06EDB1BC"/>
    <w:rsid w:val="072178C3"/>
    <w:rsid w:val="07344E82"/>
    <w:rsid w:val="073E83C5"/>
    <w:rsid w:val="07E51F11"/>
    <w:rsid w:val="07EE55FE"/>
    <w:rsid w:val="083949D0"/>
    <w:rsid w:val="0864469C"/>
    <w:rsid w:val="086E7DC3"/>
    <w:rsid w:val="08813411"/>
    <w:rsid w:val="089926FF"/>
    <w:rsid w:val="08D50107"/>
    <w:rsid w:val="08D55DFC"/>
    <w:rsid w:val="08D92D8D"/>
    <w:rsid w:val="08FC17D0"/>
    <w:rsid w:val="091E73BB"/>
    <w:rsid w:val="09AD8741"/>
    <w:rsid w:val="09C70B08"/>
    <w:rsid w:val="09FF9EDE"/>
    <w:rsid w:val="0A8FB431"/>
    <w:rsid w:val="0B0F33AE"/>
    <w:rsid w:val="0B1035A4"/>
    <w:rsid w:val="0B597900"/>
    <w:rsid w:val="0B737708"/>
    <w:rsid w:val="0C4DA9C9"/>
    <w:rsid w:val="0C8A7888"/>
    <w:rsid w:val="0C990B1B"/>
    <w:rsid w:val="0CF25417"/>
    <w:rsid w:val="0D02F4C0"/>
    <w:rsid w:val="0D11B537"/>
    <w:rsid w:val="0D2004AD"/>
    <w:rsid w:val="0D853BAE"/>
    <w:rsid w:val="0DB145A9"/>
    <w:rsid w:val="0DB2A38E"/>
    <w:rsid w:val="0DE59073"/>
    <w:rsid w:val="0DE706FF"/>
    <w:rsid w:val="0E6B9138"/>
    <w:rsid w:val="0E7D230E"/>
    <w:rsid w:val="0EB0D0D6"/>
    <w:rsid w:val="0EB8AD52"/>
    <w:rsid w:val="0EBD69A1"/>
    <w:rsid w:val="0ECFCFC2"/>
    <w:rsid w:val="0F521208"/>
    <w:rsid w:val="101467EA"/>
    <w:rsid w:val="104C1F20"/>
    <w:rsid w:val="1064DF37"/>
    <w:rsid w:val="10B60659"/>
    <w:rsid w:val="10D88413"/>
    <w:rsid w:val="10E62E53"/>
    <w:rsid w:val="11037234"/>
    <w:rsid w:val="110632E6"/>
    <w:rsid w:val="110656E2"/>
    <w:rsid w:val="1126AA97"/>
    <w:rsid w:val="11289EC3"/>
    <w:rsid w:val="11351FA1"/>
    <w:rsid w:val="1138FE43"/>
    <w:rsid w:val="116DB6B2"/>
    <w:rsid w:val="11FC46B7"/>
    <w:rsid w:val="124AD792"/>
    <w:rsid w:val="1253C9E9"/>
    <w:rsid w:val="126B90A4"/>
    <w:rsid w:val="1281FC66"/>
    <w:rsid w:val="128FCFEE"/>
    <w:rsid w:val="12E198FD"/>
    <w:rsid w:val="12E94D30"/>
    <w:rsid w:val="12EBFCFB"/>
    <w:rsid w:val="12F07DD2"/>
    <w:rsid w:val="132CDE4B"/>
    <w:rsid w:val="1333DD74"/>
    <w:rsid w:val="13C85C0C"/>
    <w:rsid w:val="1419E0F6"/>
    <w:rsid w:val="147D4E58"/>
    <w:rsid w:val="14AE698C"/>
    <w:rsid w:val="15BB33DC"/>
    <w:rsid w:val="15F25FC2"/>
    <w:rsid w:val="1610DD52"/>
    <w:rsid w:val="16211433"/>
    <w:rsid w:val="1652EC7B"/>
    <w:rsid w:val="16C9C858"/>
    <w:rsid w:val="16EF3BE3"/>
    <w:rsid w:val="17412C16"/>
    <w:rsid w:val="1747E7B9"/>
    <w:rsid w:val="176250FA"/>
    <w:rsid w:val="17B8E9B6"/>
    <w:rsid w:val="17DB3D70"/>
    <w:rsid w:val="1830BDC5"/>
    <w:rsid w:val="18898717"/>
    <w:rsid w:val="18B6EAB0"/>
    <w:rsid w:val="18BA52DE"/>
    <w:rsid w:val="19163DF3"/>
    <w:rsid w:val="1923212D"/>
    <w:rsid w:val="192924CD"/>
    <w:rsid w:val="19610991"/>
    <w:rsid w:val="19F11E94"/>
    <w:rsid w:val="1A0EEB61"/>
    <w:rsid w:val="1A14CE61"/>
    <w:rsid w:val="1A332F6D"/>
    <w:rsid w:val="1A3BBFBB"/>
    <w:rsid w:val="1A4662B4"/>
    <w:rsid w:val="1A4C7227"/>
    <w:rsid w:val="1AD50593"/>
    <w:rsid w:val="1BCB0306"/>
    <w:rsid w:val="1BCFDF29"/>
    <w:rsid w:val="1BD536F1"/>
    <w:rsid w:val="1C07E977"/>
    <w:rsid w:val="1C95CFED"/>
    <w:rsid w:val="1D669610"/>
    <w:rsid w:val="1DA66E3C"/>
    <w:rsid w:val="1E25A6E9"/>
    <w:rsid w:val="1E924DC2"/>
    <w:rsid w:val="1EC88D95"/>
    <w:rsid w:val="1F3C3008"/>
    <w:rsid w:val="1F3CC733"/>
    <w:rsid w:val="1FEA2C14"/>
    <w:rsid w:val="200C910C"/>
    <w:rsid w:val="200F2C09"/>
    <w:rsid w:val="204A1054"/>
    <w:rsid w:val="20D421DB"/>
    <w:rsid w:val="21A5C0A1"/>
    <w:rsid w:val="21BEA61C"/>
    <w:rsid w:val="21DFA761"/>
    <w:rsid w:val="21EA8063"/>
    <w:rsid w:val="21FAD09D"/>
    <w:rsid w:val="223D31C7"/>
    <w:rsid w:val="2244C92D"/>
    <w:rsid w:val="227B9C2C"/>
    <w:rsid w:val="22A1B562"/>
    <w:rsid w:val="22A905C8"/>
    <w:rsid w:val="22C2B2C1"/>
    <w:rsid w:val="230176EE"/>
    <w:rsid w:val="2331CF80"/>
    <w:rsid w:val="236784F6"/>
    <w:rsid w:val="23967538"/>
    <w:rsid w:val="23ECAFC4"/>
    <w:rsid w:val="244A3036"/>
    <w:rsid w:val="247537DA"/>
    <w:rsid w:val="249632AB"/>
    <w:rsid w:val="24B0BB1A"/>
    <w:rsid w:val="24BB22B6"/>
    <w:rsid w:val="24D2B075"/>
    <w:rsid w:val="24F66D80"/>
    <w:rsid w:val="2579B24C"/>
    <w:rsid w:val="258DAB75"/>
    <w:rsid w:val="25C4E6A8"/>
    <w:rsid w:val="25C6FA0F"/>
    <w:rsid w:val="25CD548B"/>
    <w:rsid w:val="25E09056"/>
    <w:rsid w:val="25F7E8F8"/>
    <w:rsid w:val="2609EDFC"/>
    <w:rsid w:val="26916953"/>
    <w:rsid w:val="26AF1699"/>
    <w:rsid w:val="26C1FB7B"/>
    <w:rsid w:val="26D68391"/>
    <w:rsid w:val="26E47ACD"/>
    <w:rsid w:val="27920EC2"/>
    <w:rsid w:val="279AD7A9"/>
    <w:rsid w:val="27FBFAC3"/>
    <w:rsid w:val="2868E1DA"/>
    <w:rsid w:val="28894A69"/>
    <w:rsid w:val="28A1CB60"/>
    <w:rsid w:val="28F1E637"/>
    <w:rsid w:val="29509DAC"/>
    <w:rsid w:val="296AFB98"/>
    <w:rsid w:val="296FAE19"/>
    <w:rsid w:val="297D260F"/>
    <w:rsid w:val="2989F08D"/>
    <w:rsid w:val="29C2FD9E"/>
    <w:rsid w:val="2A285D41"/>
    <w:rsid w:val="2A564969"/>
    <w:rsid w:val="2A56ECB4"/>
    <w:rsid w:val="2A896A0C"/>
    <w:rsid w:val="2A9968E0"/>
    <w:rsid w:val="2B16E278"/>
    <w:rsid w:val="2B225399"/>
    <w:rsid w:val="2B2CB083"/>
    <w:rsid w:val="2B3DF762"/>
    <w:rsid w:val="2B503184"/>
    <w:rsid w:val="2B9346D1"/>
    <w:rsid w:val="2C71FAD5"/>
    <w:rsid w:val="2CADCCA9"/>
    <w:rsid w:val="2CC4D9A2"/>
    <w:rsid w:val="2CD148B3"/>
    <w:rsid w:val="2CD7B60A"/>
    <w:rsid w:val="2CD839D8"/>
    <w:rsid w:val="2CDE172C"/>
    <w:rsid w:val="2D187DB1"/>
    <w:rsid w:val="2D33F51C"/>
    <w:rsid w:val="2DB9784B"/>
    <w:rsid w:val="2DF0EC65"/>
    <w:rsid w:val="2E678ED9"/>
    <w:rsid w:val="2E816E09"/>
    <w:rsid w:val="2EB18D54"/>
    <w:rsid w:val="2EC56682"/>
    <w:rsid w:val="2EC5C73B"/>
    <w:rsid w:val="2F8600D5"/>
    <w:rsid w:val="2FDE4B99"/>
    <w:rsid w:val="2FE9395D"/>
    <w:rsid w:val="301C0272"/>
    <w:rsid w:val="30282858"/>
    <w:rsid w:val="3028758F"/>
    <w:rsid w:val="304D23A8"/>
    <w:rsid w:val="304E5A72"/>
    <w:rsid w:val="310DC8E6"/>
    <w:rsid w:val="3111A4B1"/>
    <w:rsid w:val="313CD532"/>
    <w:rsid w:val="314F83FB"/>
    <w:rsid w:val="31A31F68"/>
    <w:rsid w:val="32077CD0"/>
    <w:rsid w:val="3216460B"/>
    <w:rsid w:val="32205733"/>
    <w:rsid w:val="32301E56"/>
    <w:rsid w:val="32724E7F"/>
    <w:rsid w:val="32893A60"/>
    <w:rsid w:val="32AA2B3B"/>
    <w:rsid w:val="32B53BE7"/>
    <w:rsid w:val="32BE0F74"/>
    <w:rsid w:val="336667AA"/>
    <w:rsid w:val="33674EC8"/>
    <w:rsid w:val="33720EA8"/>
    <w:rsid w:val="3389663B"/>
    <w:rsid w:val="33A00D94"/>
    <w:rsid w:val="33C065A0"/>
    <w:rsid w:val="343D50F1"/>
    <w:rsid w:val="34A1B070"/>
    <w:rsid w:val="34A1E4AC"/>
    <w:rsid w:val="34C54315"/>
    <w:rsid w:val="34F2A09F"/>
    <w:rsid w:val="34F657B1"/>
    <w:rsid w:val="355F535B"/>
    <w:rsid w:val="357FFEFC"/>
    <w:rsid w:val="35A24256"/>
    <w:rsid w:val="35A99355"/>
    <w:rsid w:val="35F85FDC"/>
    <w:rsid w:val="36043784"/>
    <w:rsid w:val="3604B837"/>
    <w:rsid w:val="36117BD9"/>
    <w:rsid w:val="3617EAAC"/>
    <w:rsid w:val="362402E0"/>
    <w:rsid w:val="36A36CD1"/>
    <w:rsid w:val="36D713CB"/>
    <w:rsid w:val="36F45035"/>
    <w:rsid w:val="36FA7FA7"/>
    <w:rsid w:val="3709942F"/>
    <w:rsid w:val="3781D9B7"/>
    <w:rsid w:val="38025FAE"/>
    <w:rsid w:val="38991EA5"/>
    <w:rsid w:val="38A9420F"/>
    <w:rsid w:val="38D1BBF8"/>
    <w:rsid w:val="390FA98C"/>
    <w:rsid w:val="393A9424"/>
    <w:rsid w:val="393B16EA"/>
    <w:rsid w:val="39A26D9B"/>
    <w:rsid w:val="39FECF05"/>
    <w:rsid w:val="3A4EFA59"/>
    <w:rsid w:val="3A7ED504"/>
    <w:rsid w:val="3A8009DD"/>
    <w:rsid w:val="3A936EE1"/>
    <w:rsid w:val="3A939740"/>
    <w:rsid w:val="3AAA1F71"/>
    <w:rsid w:val="3ADA6C98"/>
    <w:rsid w:val="3B016B5D"/>
    <w:rsid w:val="3B26EE37"/>
    <w:rsid w:val="3B3C042D"/>
    <w:rsid w:val="3BBD9A81"/>
    <w:rsid w:val="3BC19B13"/>
    <w:rsid w:val="3BDCC76F"/>
    <w:rsid w:val="3BF7A29E"/>
    <w:rsid w:val="3BFD9A78"/>
    <w:rsid w:val="3C06447D"/>
    <w:rsid w:val="3C37B919"/>
    <w:rsid w:val="3C8A1734"/>
    <w:rsid w:val="3CC81586"/>
    <w:rsid w:val="3D29B3A0"/>
    <w:rsid w:val="3D3309B2"/>
    <w:rsid w:val="3D7D6345"/>
    <w:rsid w:val="3D7F4CC6"/>
    <w:rsid w:val="3E2930A9"/>
    <w:rsid w:val="3E38D5DA"/>
    <w:rsid w:val="3E61520C"/>
    <w:rsid w:val="3E981CF2"/>
    <w:rsid w:val="3F1A8B20"/>
    <w:rsid w:val="3F4E4622"/>
    <w:rsid w:val="3F67B3FF"/>
    <w:rsid w:val="3F8F4BB6"/>
    <w:rsid w:val="3F957CF8"/>
    <w:rsid w:val="3FF95BB1"/>
    <w:rsid w:val="40236535"/>
    <w:rsid w:val="40405247"/>
    <w:rsid w:val="408603B9"/>
    <w:rsid w:val="408DB50C"/>
    <w:rsid w:val="4129F3BD"/>
    <w:rsid w:val="413149BB"/>
    <w:rsid w:val="413F8AD4"/>
    <w:rsid w:val="41425F0C"/>
    <w:rsid w:val="4160D028"/>
    <w:rsid w:val="4175E26E"/>
    <w:rsid w:val="417E311A"/>
    <w:rsid w:val="418EE125"/>
    <w:rsid w:val="41A397D3"/>
    <w:rsid w:val="420CE16F"/>
    <w:rsid w:val="4217131D"/>
    <w:rsid w:val="426058F9"/>
    <w:rsid w:val="42970F9B"/>
    <w:rsid w:val="42FF1C27"/>
    <w:rsid w:val="43700C81"/>
    <w:rsid w:val="43AAC1A6"/>
    <w:rsid w:val="443AE9AA"/>
    <w:rsid w:val="444B336B"/>
    <w:rsid w:val="445CAF13"/>
    <w:rsid w:val="44671117"/>
    <w:rsid w:val="446D6D6E"/>
    <w:rsid w:val="447B95FF"/>
    <w:rsid w:val="44983F2B"/>
    <w:rsid w:val="44D51C36"/>
    <w:rsid w:val="44E42462"/>
    <w:rsid w:val="452A4E78"/>
    <w:rsid w:val="452B987A"/>
    <w:rsid w:val="4531C457"/>
    <w:rsid w:val="45386F93"/>
    <w:rsid w:val="456FA2ED"/>
    <w:rsid w:val="45881532"/>
    <w:rsid w:val="45B3DABA"/>
    <w:rsid w:val="46040959"/>
    <w:rsid w:val="4613FE9F"/>
    <w:rsid w:val="463634D9"/>
    <w:rsid w:val="46523AB7"/>
    <w:rsid w:val="46C2E3D6"/>
    <w:rsid w:val="46F504DF"/>
    <w:rsid w:val="47141EA7"/>
    <w:rsid w:val="47CAFA8A"/>
    <w:rsid w:val="48064A34"/>
    <w:rsid w:val="48164B4F"/>
    <w:rsid w:val="481B058C"/>
    <w:rsid w:val="486B2489"/>
    <w:rsid w:val="486DB8F5"/>
    <w:rsid w:val="487A50B2"/>
    <w:rsid w:val="48806E8E"/>
    <w:rsid w:val="48820115"/>
    <w:rsid w:val="488F632A"/>
    <w:rsid w:val="48A9BB03"/>
    <w:rsid w:val="48C00994"/>
    <w:rsid w:val="48E862E4"/>
    <w:rsid w:val="48FD3EBC"/>
    <w:rsid w:val="490D10E4"/>
    <w:rsid w:val="4932E56A"/>
    <w:rsid w:val="49504B0D"/>
    <w:rsid w:val="495600BE"/>
    <w:rsid w:val="49916217"/>
    <w:rsid w:val="49A1704E"/>
    <w:rsid w:val="49E9EC13"/>
    <w:rsid w:val="49FD1AF3"/>
    <w:rsid w:val="4A041175"/>
    <w:rsid w:val="4A3099C9"/>
    <w:rsid w:val="4A8F0A6A"/>
    <w:rsid w:val="4A947D6A"/>
    <w:rsid w:val="4A9FC89D"/>
    <w:rsid w:val="4AABCB0A"/>
    <w:rsid w:val="4B1C8C2F"/>
    <w:rsid w:val="4B217331"/>
    <w:rsid w:val="4B670D0F"/>
    <w:rsid w:val="4B6D3D2D"/>
    <w:rsid w:val="4B706B1F"/>
    <w:rsid w:val="4B70D737"/>
    <w:rsid w:val="4BA8E85B"/>
    <w:rsid w:val="4BB1FDA5"/>
    <w:rsid w:val="4BB82962"/>
    <w:rsid w:val="4BC66B6C"/>
    <w:rsid w:val="4C0E2C61"/>
    <w:rsid w:val="4C55D26F"/>
    <w:rsid w:val="4C92889E"/>
    <w:rsid w:val="4D11F769"/>
    <w:rsid w:val="4D1F576A"/>
    <w:rsid w:val="4D2E3866"/>
    <w:rsid w:val="4DF91C21"/>
    <w:rsid w:val="4E2C3417"/>
    <w:rsid w:val="4E8C2154"/>
    <w:rsid w:val="4ED89053"/>
    <w:rsid w:val="4EDFAC97"/>
    <w:rsid w:val="4F3B8B70"/>
    <w:rsid w:val="4F9031FB"/>
    <w:rsid w:val="50115AA2"/>
    <w:rsid w:val="503CA047"/>
    <w:rsid w:val="5081FCEE"/>
    <w:rsid w:val="51AC2367"/>
    <w:rsid w:val="51F500DD"/>
    <w:rsid w:val="52B39895"/>
    <w:rsid w:val="52B3D798"/>
    <w:rsid w:val="52D3E549"/>
    <w:rsid w:val="52E2AFE1"/>
    <w:rsid w:val="535F32A9"/>
    <w:rsid w:val="5437B55D"/>
    <w:rsid w:val="54EB4E5B"/>
    <w:rsid w:val="54F21266"/>
    <w:rsid w:val="55226E76"/>
    <w:rsid w:val="5540CEB3"/>
    <w:rsid w:val="55BC8837"/>
    <w:rsid w:val="55EA1031"/>
    <w:rsid w:val="564122AA"/>
    <w:rsid w:val="5689249F"/>
    <w:rsid w:val="569B2537"/>
    <w:rsid w:val="569B4F96"/>
    <w:rsid w:val="56DF324B"/>
    <w:rsid w:val="579A8B8A"/>
    <w:rsid w:val="57DE17CB"/>
    <w:rsid w:val="58166885"/>
    <w:rsid w:val="58395DF9"/>
    <w:rsid w:val="58D34C0A"/>
    <w:rsid w:val="5919FA0C"/>
    <w:rsid w:val="594B7E6A"/>
    <w:rsid w:val="596D8EFB"/>
    <w:rsid w:val="5983B5A3"/>
    <w:rsid w:val="59BCD14C"/>
    <w:rsid w:val="59E2B20B"/>
    <w:rsid w:val="59E3B660"/>
    <w:rsid w:val="5A0442E4"/>
    <w:rsid w:val="5A7C8C68"/>
    <w:rsid w:val="5AC2C74F"/>
    <w:rsid w:val="5AD30755"/>
    <w:rsid w:val="5AF34D39"/>
    <w:rsid w:val="5B204E2A"/>
    <w:rsid w:val="5B2DEAE1"/>
    <w:rsid w:val="5B3006D1"/>
    <w:rsid w:val="5B8A6712"/>
    <w:rsid w:val="5BF5237A"/>
    <w:rsid w:val="5C0D5F7B"/>
    <w:rsid w:val="5C2E89BD"/>
    <w:rsid w:val="5C59D9DA"/>
    <w:rsid w:val="5C7941CD"/>
    <w:rsid w:val="5CAFEEB0"/>
    <w:rsid w:val="5CD95573"/>
    <w:rsid w:val="5CDCCE30"/>
    <w:rsid w:val="5D8CFAE7"/>
    <w:rsid w:val="5DAABDB2"/>
    <w:rsid w:val="5DED199F"/>
    <w:rsid w:val="5E12FF9F"/>
    <w:rsid w:val="5EBCBFD1"/>
    <w:rsid w:val="5EC36A20"/>
    <w:rsid w:val="5EF7B979"/>
    <w:rsid w:val="5F0AF2E7"/>
    <w:rsid w:val="5F7E7EF1"/>
    <w:rsid w:val="5F829A6E"/>
    <w:rsid w:val="5F987435"/>
    <w:rsid w:val="6024664B"/>
    <w:rsid w:val="60605211"/>
    <w:rsid w:val="608DCAF5"/>
    <w:rsid w:val="60D883C8"/>
    <w:rsid w:val="61008A16"/>
    <w:rsid w:val="617B61A4"/>
    <w:rsid w:val="61D97F5A"/>
    <w:rsid w:val="620BEF06"/>
    <w:rsid w:val="62231040"/>
    <w:rsid w:val="62482726"/>
    <w:rsid w:val="62A6701D"/>
    <w:rsid w:val="62C36121"/>
    <w:rsid w:val="62CB59FF"/>
    <w:rsid w:val="62DF0ACE"/>
    <w:rsid w:val="62F0D9A8"/>
    <w:rsid w:val="63003BC7"/>
    <w:rsid w:val="63095086"/>
    <w:rsid w:val="638B07BB"/>
    <w:rsid w:val="63E1027D"/>
    <w:rsid w:val="64256836"/>
    <w:rsid w:val="645D20E7"/>
    <w:rsid w:val="64625C14"/>
    <w:rsid w:val="64EB6C7A"/>
    <w:rsid w:val="650A5887"/>
    <w:rsid w:val="650E06C3"/>
    <w:rsid w:val="6550422E"/>
    <w:rsid w:val="65D36994"/>
    <w:rsid w:val="65DB6F08"/>
    <w:rsid w:val="660549C0"/>
    <w:rsid w:val="6628B7D9"/>
    <w:rsid w:val="6672494C"/>
    <w:rsid w:val="66903B55"/>
    <w:rsid w:val="66A01EE3"/>
    <w:rsid w:val="66A24CCD"/>
    <w:rsid w:val="67007CD4"/>
    <w:rsid w:val="6726652B"/>
    <w:rsid w:val="6742E26C"/>
    <w:rsid w:val="676D2692"/>
    <w:rsid w:val="67701D2F"/>
    <w:rsid w:val="67717637"/>
    <w:rsid w:val="67800364"/>
    <w:rsid w:val="6786B427"/>
    <w:rsid w:val="6789AB4A"/>
    <w:rsid w:val="67C6CB6B"/>
    <w:rsid w:val="67CC8788"/>
    <w:rsid w:val="67F512F5"/>
    <w:rsid w:val="6854747A"/>
    <w:rsid w:val="68590F58"/>
    <w:rsid w:val="686FEB7F"/>
    <w:rsid w:val="6877AA04"/>
    <w:rsid w:val="68A5E5D7"/>
    <w:rsid w:val="68B94465"/>
    <w:rsid w:val="68CDFC4F"/>
    <w:rsid w:val="68E5BB1E"/>
    <w:rsid w:val="6918EEEB"/>
    <w:rsid w:val="6965B415"/>
    <w:rsid w:val="69726C0A"/>
    <w:rsid w:val="698C121C"/>
    <w:rsid w:val="69CE0ED1"/>
    <w:rsid w:val="69CFD18C"/>
    <w:rsid w:val="6A428C48"/>
    <w:rsid w:val="6A44E653"/>
    <w:rsid w:val="6A67958F"/>
    <w:rsid w:val="6A9B8F9F"/>
    <w:rsid w:val="6AB1CAB0"/>
    <w:rsid w:val="6AE48048"/>
    <w:rsid w:val="6AF4B7DC"/>
    <w:rsid w:val="6B315358"/>
    <w:rsid w:val="6B503AB7"/>
    <w:rsid w:val="6B52E39F"/>
    <w:rsid w:val="6B9BC667"/>
    <w:rsid w:val="6B9F3545"/>
    <w:rsid w:val="6BC032BB"/>
    <w:rsid w:val="6BC92B6C"/>
    <w:rsid w:val="6C380F92"/>
    <w:rsid w:val="6C7F2E89"/>
    <w:rsid w:val="6C941435"/>
    <w:rsid w:val="6D49C7A0"/>
    <w:rsid w:val="6DDB28E5"/>
    <w:rsid w:val="6DFCE63C"/>
    <w:rsid w:val="6E2D3ABA"/>
    <w:rsid w:val="6E4427D9"/>
    <w:rsid w:val="6E47617B"/>
    <w:rsid w:val="6EC0157B"/>
    <w:rsid w:val="6F432437"/>
    <w:rsid w:val="6F454B33"/>
    <w:rsid w:val="6FB39104"/>
    <w:rsid w:val="6FC1D66A"/>
    <w:rsid w:val="6FCA6858"/>
    <w:rsid w:val="6FE1EAA0"/>
    <w:rsid w:val="6FFFCB6C"/>
    <w:rsid w:val="70028996"/>
    <w:rsid w:val="7028EC3A"/>
    <w:rsid w:val="704285EB"/>
    <w:rsid w:val="7111319E"/>
    <w:rsid w:val="7114874A"/>
    <w:rsid w:val="7125D393"/>
    <w:rsid w:val="713CFE76"/>
    <w:rsid w:val="715E89B8"/>
    <w:rsid w:val="71A22BA5"/>
    <w:rsid w:val="71C86583"/>
    <w:rsid w:val="721C573C"/>
    <w:rsid w:val="724A960A"/>
    <w:rsid w:val="7250F414"/>
    <w:rsid w:val="72686C91"/>
    <w:rsid w:val="7269E6DE"/>
    <w:rsid w:val="72873E03"/>
    <w:rsid w:val="72C30D9D"/>
    <w:rsid w:val="72CE3A33"/>
    <w:rsid w:val="72D9069F"/>
    <w:rsid w:val="72F6C429"/>
    <w:rsid w:val="72F89A89"/>
    <w:rsid w:val="7330E2D1"/>
    <w:rsid w:val="73383809"/>
    <w:rsid w:val="73502813"/>
    <w:rsid w:val="7356D172"/>
    <w:rsid w:val="735A60D9"/>
    <w:rsid w:val="73916D2C"/>
    <w:rsid w:val="7393F467"/>
    <w:rsid w:val="742F84C1"/>
    <w:rsid w:val="7445365B"/>
    <w:rsid w:val="746C798D"/>
    <w:rsid w:val="74A4159C"/>
    <w:rsid w:val="74DE099B"/>
    <w:rsid w:val="75191597"/>
    <w:rsid w:val="7580F8C1"/>
    <w:rsid w:val="75A6078E"/>
    <w:rsid w:val="75C3A324"/>
    <w:rsid w:val="75D06005"/>
    <w:rsid w:val="75F84134"/>
    <w:rsid w:val="76356E48"/>
    <w:rsid w:val="7656F1C4"/>
    <w:rsid w:val="766A5672"/>
    <w:rsid w:val="76CD85B7"/>
    <w:rsid w:val="77E1CAC1"/>
    <w:rsid w:val="781694E4"/>
    <w:rsid w:val="782A1C0C"/>
    <w:rsid w:val="78A1C387"/>
    <w:rsid w:val="78A7D6E2"/>
    <w:rsid w:val="78E9FDE3"/>
    <w:rsid w:val="78F3F6FB"/>
    <w:rsid w:val="795821A1"/>
    <w:rsid w:val="795A1694"/>
    <w:rsid w:val="7963FE49"/>
    <w:rsid w:val="79651AA4"/>
    <w:rsid w:val="79812E5F"/>
    <w:rsid w:val="79DDE528"/>
    <w:rsid w:val="7A57F727"/>
    <w:rsid w:val="7A624790"/>
    <w:rsid w:val="7A69F637"/>
    <w:rsid w:val="7AA44C11"/>
    <w:rsid w:val="7B28AF22"/>
    <w:rsid w:val="7B2A86B0"/>
    <w:rsid w:val="7B57DE3D"/>
    <w:rsid w:val="7B68F625"/>
    <w:rsid w:val="7C181F48"/>
    <w:rsid w:val="7C2BA3EF"/>
    <w:rsid w:val="7C98C32B"/>
    <w:rsid w:val="7C9A5117"/>
    <w:rsid w:val="7D148271"/>
    <w:rsid w:val="7D805739"/>
    <w:rsid w:val="7D8877C0"/>
    <w:rsid w:val="7DB6E760"/>
    <w:rsid w:val="7DC09E1C"/>
    <w:rsid w:val="7DC3783C"/>
    <w:rsid w:val="7DD0602E"/>
    <w:rsid w:val="7DE9AAAB"/>
    <w:rsid w:val="7E1DD0F8"/>
    <w:rsid w:val="7E6D6730"/>
    <w:rsid w:val="7E6DA28C"/>
    <w:rsid w:val="7EA96645"/>
    <w:rsid w:val="7EE5B430"/>
    <w:rsid w:val="7F3BFABD"/>
    <w:rsid w:val="7F548677"/>
    <w:rsid w:val="7F8C49C3"/>
    <w:rsid w:val="7FE69657"/>
    <w:rsid w:val="7FEF92A8"/>
    <w:rsid w:val="7FF02B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CB452"/>
  <w15:docId w15:val="{81A0D425-B78E-4E42-9A72-959DA1AEA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33"/>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D90EE8"/>
    <w:pPr>
      <w:numPr>
        <w:ilvl w:val="1"/>
        <w:numId w:val="33"/>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6236D0"/>
    <w:pPr>
      <w:numPr>
        <w:ilvl w:val="2"/>
        <w:numId w:val="33"/>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33"/>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33"/>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33"/>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33"/>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33"/>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33"/>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F680A"/>
    <w:pPr>
      <w:tabs>
        <w:tab w:val="left" w:pos="440"/>
        <w:tab w:val="right" w:leader="dot" w:pos="9017"/>
      </w:tabs>
      <w:spacing w:after="100"/>
    </w:p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6236D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D90EE8"/>
    <w:rPr>
      <w:rFonts w:ascii="Arial" w:hAnsi="Arial"/>
      <w:b/>
      <w:bCs/>
      <w:sz w:val="28"/>
      <w:szCs w:val="26"/>
      <w:lang w:eastAsia="en-US" w:bidi="en-US"/>
    </w:rPr>
  </w:style>
  <w:style w:type="paragraph" w:customStyle="1" w:styleId="ITTBody">
    <w:name w:val="ITT Body"/>
    <w:basedOn w:val="Normal"/>
    <w:link w:val="ITTBodyChar"/>
    <w:qFormat/>
    <w:rsid w:val="007511DA"/>
    <w:pPr>
      <w:numPr>
        <w:numId w:val="11"/>
      </w:numPr>
      <w:tabs>
        <w:tab w:val="left" w:pos="851"/>
      </w:tabs>
      <w:spacing w:after="120" w:line="240" w:lineRule="auto"/>
    </w:pPr>
    <w:rPr>
      <w:rFonts w:ascii="Arial" w:hAnsi="Arial" w:cs="Arial"/>
    </w:rPr>
  </w:style>
  <w:style w:type="paragraph" w:customStyle="1" w:styleId="ITTHeading1">
    <w:name w:val="ITT Heading 1"/>
    <w:basedOn w:val="Normal"/>
    <w:qFormat/>
    <w:rsid w:val="0004760E"/>
    <w:pPr>
      <w:numPr>
        <w:numId w:val="3"/>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link w:val="ITTBodyLevel2Char"/>
    <w:qFormat/>
    <w:rsid w:val="007511DA"/>
    <w:pPr>
      <w:numPr>
        <w:numId w:val="10"/>
      </w:numPr>
      <w:tabs>
        <w:tab w:val="clear" w:pos="851"/>
        <w:tab w:val="left" w:pos="1843"/>
      </w:tabs>
    </w:pPr>
  </w:style>
  <w:style w:type="paragraph" w:customStyle="1" w:styleId="ITTBullet1">
    <w:name w:val="ITT Bullet1"/>
    <w:basedOn w:val="Normal"/>
    <w:qFormat/>
    <w:rsid w:val="00AD6702"/>
    <w:pPr>
      <w:numPr>
        <w:numId w:val="4"/>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numId w:val="0"/>
      </w:numPr>
      <w:spacing w:after="240"/>
    </w:pPr>
    <w:rPr>
      <w:lang w:bidi="ar-SA"/>
    </w:rPr>
  </w:style>
  <w:style w:type="paragraph" w:customStyle="1" w:styleId="ITTBullet">
    <w:name w:val="ITT Bullet"/>
    <w:basedOn w:val="Normal"/>
    <w:uiPriority w:val="99"/>
    <w:qFormat/>
    <w:rsid w:val="00F54F47"/>
    <w:pPr>
      <w:numPr>
        <w:numId w:val="6"/>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B90EFA"/>
    <w:pPr>
      <w:tabs>
        <w:tab w:val="clear" w:pos="1843"/>
      </w:tabs>
      <w:spacing w:before="240"/>
      <w:ind w:left="851" w:hanging="851"/>
    </w:pPr>
    <w:rPr>
      <w:b/>
      <w:sz w:val="24"/>
      <w:szCs w:val="24"/>
    </w:rPr>
  </w:style>
  <w:style w:type="paragraph" w:customStyle="1" w:styleId="ITTBulletlevel2">
    <w:name w:val="ITT Bullet level 2"/>
    <w:basedOn w:val="ITTBullet"/>
    <w:uiPriority w:val="99"/>
    <w:qFormat/>
    <w:rsid w:val="00F54F47"/>
    <w:pPr>
      <w:numPr>
        <w:ilvl w:val="1"/>
        <w:numId w:val="5"/>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7"/>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B90EFA"/>
    <w:pPr>
      <w:spacing w:before="240"/>
      <w:ind w:left="1162" w:hanging="1162"/>
    </w:pPr>
    <w:rPr>
      <w:b/>
      <w:sz w:val="28"/>
      <w:szCs w:val="28"/>
      <w:lang w:bidi="ar-SA"/>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character" w:customStyle="1" w:styleId="ITTHeading2Char">
    <w:name w:val="ITT Heading 2 Char"/>
    <w:basedOn w:val="ITTBodyChar"/>
    <w:link w:val="ITTHeading2"/>
    <w:rsid w:val="00B90EFA"/>
    <w:rPr>
      <w:rFonts w:ascii="Arial" w:hAnsi="Arial" w:cs="Arial"/>
      <w:b/>
      <w:sz w:val="28"/>
      <w:szCs w:val="28"/>
      <w:lang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link w:val="ITTBody3Char"/>
    <w:qFormat/>
    <w:rsid w:val="00256C78"/>
    <w:pPr>
      <w:numPr>
        <w:numId w:val="0"/>
      </w:numPr>
      <w:tabs>
        <w:tab w:val="clear" w:pos="1843"/>
        <w:tab w:val="left" w:pos="2835"/>
      </w:tabs>
    </w:pPr>
    <w:rPr>
      <w:sz w:val="24"/>
    </w:r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numId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customStyle="1" w:styleId="ITTbody1">
    <w:name w:val="ITT body 1"/>
    <w:basedOn w:val="ITTBody3"/>
    <w:link w:val="ITTbody1Char"/>
    <w:qFormat/>
    <w:rsid w:val="00B90EFA"/>
    <w:pPr>
      <w:ind w:left="851"/>
    </w:pPr>
  </w:style>
  <w:style w:type="paragraph" w:customStyle="1" w:styleId="ITTbody1bullets">
    <w:name w:val="ITT body 1 bullets"/>
    <w:basedOn w:val="ITTBody"/>
    <w:qFormat/>
    <w:rsid w:val="00B90EFA"/>
    <w:pPr>
      <w:numPr>
        <w:numId w:val="0"/>
      </w:numPr>
      <w:tabs>
        <w:tab w:val="clear" w:pos="851"/>
        <w:tab w:val="num" w:pos="1418"/>
      </w:tabs>
      <w:ind w:left="720" w:hanging="720"/>
    </w:pPr>
    <w:rPr>
      <w:sz w:val="24"/>
    </w:rPr>
  </w:style>
  <w:style w:type="character" w:customStyle="1" w:styleId="ITTBodyLevel2Char">
    <w:name w:val="ITT Body Level 2 Char"/>
    <w:basedOn w:val="ITTBodyChar"/>
    <w:link w:val="ITTBodyLevel2"/>
    <w:rsid w:val="00B90EFA"/>
    <w:rPr>
      <w:rFonts w:ascii="Arial" w:hAnsi="Arial" w:cs="Arial"/>
      <w:sz w:val="22"/>
      <w:szCs w:val="22"/>
      <w:lang w:eastAsia="en-US" w:bidi="en-US"/>
    </w:rPr>
  </w:style>
  <w:style w:type="character" w:customStyle="1" w:styleId="ITTBody3Char">
    <w:name w:val="ITT Body 3 Char"/>
    <w:basedOn w:val="ITTBodyLevel2Char"/>
    <w:link w:val="ITTBody3"/>
    <w:rsid w:val="00B90EFA"/>
    <w:rPr>
      <w:rFonts w:ascii="Arial" w:hAnsi="Arial" w:cs="Arial"/>
      <w:sz w:val="24"/>
      <w:szCs w:val="22"/>
      <w:lang w:eastAsia="en-US" w:bidi="en-US"/>
    </w:rPr>
  </w:style>
  <w:style w:type="character" w:customStyle="1" w:styleId="ITTbody1Char">
    <w:name w:val="ITT body 1 Char"/>
    <w:basedOn w:val="ITTBody3Char"/>
    <w:link w:val="ITTbody1"/>
    <w:rsid w:val="00B90EFA"/>
    <w:rPr>
      <w:rFonts w:ascii="Arial" w:hAnsi="Arial" w:cs="Arial"/>
      <w:sz w:val="24"/>
      <w:szCs w:val="22"/>
      <w:lang w:eastAsia="en-US" w:bidi="en-US"/>
    </w:rPr>
  </w:style>
  <w:style w:type="paragraph" w:customStyle="1" w:styleId="ITTBody2">
    <w:name w:val="ITT Body 2"/>
    <w:basedOn w:val="ITTHeading3"/>
    <w:qFormat/>
    <w:rsid w:val="00BC2B60"/>
    <w:rPr>
      <w:rFonts w:cs="Times New Roman"/>
      <w:b w:val="0"/>
      <w:lang w:bidi="ar-SA"/>
    </w:rPr>
  </w:style>
  <w:style w:type="paragraph" w:customStyle="1" w:styleId="paragraph0">
    <w:name w:val="paragraph"/>
    <w:basedOn w:val="Normal"/>
    <w:uiPriority w:val="1"/>
    <w:rsid w:val="072178C3"/>
    <w:pPr>
      <w:spacing w:beforeAutospacing="1" w:afterAutospacing="1"/>
    </w:pPr>
    <w:rPr>
      <w:rFonts w:ascii="Times New Roman" w:hAnsi="Times New Roman"/>
      <w:sz w:val="24"/>
      <w:szCs w:val="24"/>
      <w:lang w:eastAsia="en-GB" w:bidi="ar-SA"/>
    </w:rPr>
  </w:style>
  <w:style w:type="character" w:customStyle="1" w:styleId="normaltextrun">
    <w:name w:val="normaltextrun"/>
    <w:basedOn w:val="DefaultParagraphFont"/>
    <w:uiPriority w:val="1"/>
    <w:rsid w:val="072178C3"/>
    <w:rPr>
      <w:rFonts w:ascii="Calibri" w:eastAsia="Times New Roman" w:hAnsi="Calibri" w:cs="Times New Roman"/>
    </w:r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uiPriority w:val="1"/>
    <w:rsid w:val="1F3C300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ice.org.uk/Media/Default/About/Who-we-are/Policies-and-procedures/declaring-and-managing-interests-board-and-employees-policy.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ice.org.uk/About/Who-we-are/Policies-and-procedures/NICE-equality-scheme" TargetMode="External"/></Relationships>
</file>

<file path=word/documenttasks/documenttasks1.xml><?xml version="1.0" encoding="utf-8"?>
<t:Tasks xmlns:t="http://schemas.microsoft.com/office/tasks/2019/documenttasks" xmlns:oel="http://schemas.microsoft.com/office/2019/extlst">
  <t:Task id="{F005BAC0-821A-4AF4-AE89-11AE8A0360F0}">
    <t:Anchor>
      <t:Comment id="1083952312"/>
    </t:Anchor>
    <t:History>
      <t:Event id="{533D92FD-7A4A-448A-B0DF-39EA84B1D5B3}" time="2024-08-29T13:57:02.022Z">
        <t:Attribution userId="S::arrezou.samidas@nice.org.uk::3557061c-cdb4-4cd4-9bfd-29f2fb4ec1d2" userProvider="AD" userName="Arrezou Samidas"/>
        <t:Anchor>
          <t:Comment id="1083952312"/>
        </t:Anchor>
        <t:Create/>
      </t:Event>
      <t:Event id="{A03D1601-249D-47B3-B7F5-75F9AA3AABEA}" time="2024-08-29T13:57:02.022Z">
        <t:Attribution userId="S::arrezou.samidas@nice.org.uk::3557061c-cdb4-4cd4-9bfd-29f2fb4ec1d2" userProvider="AD" userName="Arrezou Samidas"/>
        <t:Anchor>
          <t:Comment id="1083952312"/>
        </t:Anchor>
        <t:Assign userId="S::Jean.Ryan@nice.org.uk::59ab2ffd-1fb5-4646-8aed-2d04c5657e99" userProvider="AD" userName="Jean Ryan"/>
      </t:Event>
      <t:Event id="{C26B593A-46D9-4364-9645-D5B5F16D6578}" time="2024-08-29T13:57:02.022Z">
        <t:Attribution userId="S::arrezou.samidas@nice.org.uk::3557061c-cdb4-4cd4-9bfd-29f2fb4ec1d2" userProvider="AD" userName="Arrezou Samidas"/>
        <t:Anchor>
          <t:Comment id="1083952312"/>
        </t:Anchor>
        <t:SetTitle title="@Bhash Naidoo and @Jean Ryan to review and update"/>
      </t:Event>
    </t:History>
  </t:Task>
  <t:Task id="{45DCC55C-2C54-43C4-9889-CB8C7EA4B8C3}">
    <t:Anchor>
      <t:Comment id="1380406560"/>
    </t:Anchor>
    <t:History>
      <t:Event id="{BEF0BD14-17A3-479B-B069-266D25A24B0E}" time="2024-08-29T13:57:36.945Z">
        <t:Attribution userId="S::arrezou.samidas@nice.org.uk::3557061c-cdb4-4cd4-9bfd-29f2fb4ec1d2" userProvider="AD" userName="Arrezou Samidas"/>
        <t:Anchor>
          <t:Comment id="1380406560"/>
        </t:Anchor>
        <t:Create/>
      </t:Event>
      <t:Event id="{F5D6240A-BE53-4CAC-9107-E9D039AF4126}" time="2024-08-29T13:57:36.945Z">
        <t:Attribution userId="S::arrezou.samidas@nice.org.uk::3557061c-cdb4-4cd4-9bfd-29f2fb4ec1d2" userProvider="AD" userName="Arrezou Samidas"/>
        <t:Anchor>
          <t:Comment id="1380406560"/>
        </t:Anchor>
        <t:Assign userId="S::Lizzy.Latimer@nice.org.uk::ef1a2040-4e75-468e-9874-826b949e641f" userProvider="AD" userName="Lizzy Latimer"/>
      </t:Event>
      <t:Event id="{B8C87001-86C4-46B3-AC08-DBBCF5988532}" time="2024-08-29T13:57:36.945Z">
        <t:Attribution userId="S::arrezou.samidas@nice.org.uk::3557061c-cdb4-4cd4-9bfd-29f2fb4ec1d2" userProvider="AD" userName="Arrezou Samidas"/>
        <t:Anchor>
          <t:Comment id="1380406560"/>
        </t:Anchor>
        <t:SetTitle title="@Anastasia Chalkidou and @Lizzy Latimer to review"/>
      </t:Event>
    </t:History>
  </t:Task>
  <t:Task id="{E2AEA3E2-A969-41FB-B1B0-37E5FAE5F84F}">
    <t:Anchor>
      <t:Comment id="1017308476"/>
    </t:Anchor>
    <t:History>
      <t:Event id="{1695575E-26F6-41C5-8C90-6A3334A8C385}" time="2024-08-29T16:07:39.571Z">
        <t:Attribution userId="S::arrezou.samidas@nice.org.uk::3557061c-cdb4-4cd4-9bfd-29f2fb4ec1d2" userProvider="AD" userName="Arrezou Samidas"/>
        <t:Anchor>
          <t:Comment id="1017308476"/>
        </t:Anchor>
        <t:Create/>
      </t:Event>
      <t:Event id="{E514E88B-3561-4261-8F27-32E76BDDDB0B}" time="2024-08-29T16:07:39.571Z">
        <t:Attribution userId="S::arrezou.samidas@nice.org.uk::3557061c-cdb4-4cd4-9bfd-29f2fb4ec1d2" userProvider="AD" userName="Arrezou Samidas"/>
        <t:Anchor>
          <t:Comment id="1017308476"/>
        </t:Anchor>
        <t:Assign userId="S::Anastasia.Chalkidou@nice.org.uk::47a997ee-acd7-49f1-9433-3a5f8eecb867" userProvider="AD" userName="Anastasia Chalkidou"/>
      </t:Event>
      <t:Event id="{BE663AEE-A4E1-4157-86CB-5837D6D250DE}" time="2024-08-29T16:07:39.571Z">
        <t:Attribution userId="S::arrezou.samidas@nice.org.uk::3557061c-cdb4-4cd4-9bfd-29f2fb4ec1d2" userProvider="AD" userName="Arrezou Samidas"/>
        <t:Anchor>
          <t:Comment id="1017308476"/>
        </t:Anchor>
        <t:SetTitle title="@Anastasia Chalkidou just IP, or digital to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9CCF47-02DF-4EE0-85DE-E0F5A8538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FD0848-7729-43AA-964C-2EA1BAC5EE1D}">
  <ds:schemaRefs>
    <ds:schemaRef ds:uri="http://schemas.microsoft.com/office/2006/metadata/properties"/>
    <ds:schemaRef ds:uri="http://schemas.microsoft.com/office/infopath/2007/PartnerControls"/>
    <ds:schemaRef ds:uri="acdc1544-ddf5-4591-b58c-9f33085eadf0"/>
  </ds:schemaRefs>
</ds:datastoreItem>
</file>

<file path=customXml/itemProps3.xml><?xml version="1.0" encoding="utf-8"?>
<ds:datastoreItem xmlns:ds="http://schemas.openxmlformats.org/officeDocument/2006/customXml" ds:itemID="{C5203744-E905-462C-A5B3-ED37ADEE6E9F}">
  <ds:schemaRefs>
    <ds:schemaRef ds:uri="http://schemas.openxmlformats.org/officeDocument/2006/bibliography"/>
  </ds:schemaRefs>
</ds:datastoreItem>
</file>

<file path=customXml/itemProps4.xml><?xml version="1.0" encoding="utf-8"?>
<ds:datastoreItem xmlns:ds="http://schemas.openxmlformats.org/officeDocument/2006/customXml" ds:itemID="{F57A292B-40FC-47FD-BE1E-5AA5906BBD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3088</Words>
  <Characters>17608</Characters>
  <Application>Microsoft Office Word</Application>
  <DocSecurity>0</DocSecurity>
  <Lines>146</Lines>
  <Paragraphs>41</Paragraphs>
  <ScaleCrop>false</ScaleCrop>
  <Company>NICE</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4</cp:revision>
  <cp:lastPrinted>2017-06-03T04:00:00Z</cp:lastPrinted>
  <dcterms:created xsi:type="dcterms:W3CDTF">2024-11-22T10:09:00Z</dcterms:created>
  <dcterms:modified xsi:type="dcterms:W3CDTF">2024-11-22T11:03:00Z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MSIP_Label_c69d85d5-6d9e-4305-a294-1f636ec0f2d6_Enabled">
    <vt:lpwstr>true</vt:lpwstr>
  </property>
  <property fmtid="{D5CDD505-2E9C-101B-9397-08002B2CF9AE}" pid="12" name="MSIP_Label_c69d85d5-6d9e-4305-a294-1f636ec0f2d6_SetDate">
    <vt:lpwstr>2024-08-28T14:11:13Z</vt:lpwstr>
  </property>
  <property fmtid="{D5CDD505-2E9C-101B-9397-08002B2CF9AE}" pid="13" name="MSIP_Label_c69d85d5-6d9e-4305-a294-1f636ec0f2d6_Method">
    <vt:lpwstr>Standard</vt:lpwstr>
  </property>
  <property fmtid="{D5CDD505-2E9C-101B-9397-08002B2CF9AE}" pid="14" name="MSIP_Label_c69d85d5-6d9e-4305-a294-1f636ec0f2d6_Name">
    <vt:lpwstr>OFFICIAL</vt:lpwstr>
  </property>
  <property fmtid="{D5CDD505-2E9C-101B-9397-08002B2CF9AE}" pid="15" name="MSIP_Label_c69d85d5-6d9e-4305-a294-1f636ec0f2d6_SiteId">
    <vt:lpwstr>6030f479-b342-472d-a5dd-740ff7538de9</vt:lpwstr>
  </property>
  <property fmtid="{D5CDD505-2E9C-101B-9397-08002B2CF9AE}" pid="16" name="MSIP_Label_c69d85d5-6d9e-4305-a294-1f636ec0f2d6_ActionId">
    <vt:lpwstr>a9675eca-8b84-4dfd-981a-0c746ae6f3c2</vt:lpwstr>
  </property>
  <property fmtid="{D5CDD505-2E9C-101B-9397-08002B2CF9AE}" pid="17" name="MSIP_Label_c69d85d5-6d9e-4305-a294-1f636ec0f2d6_ContentBits">
    <vt:lpwstr>0</vt:lpwstr>
  </property>
</Properties>
</file>